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B408D" w14:textId="5D908C73" w:rsidR="00EF463F" w:rsidRDefault="00EF463F">
      <w:pPr>
        <w:rPr>
          <w:rFonts w:cs="Nazanin"/>
          <w:sz w:val="28"/>
          <w:szCs w:val="36"/>
        </w:rPr>
      </w:pPr>
      <w:bookmarkStart w:id="0" w:name="OLE_LINK15"/>
      <w:bookmarkStart w:id="1" w:name="OLE_LINK10"/>
      <w:bookmarkStart w:id="2" w:name="OLE_LINK11"/>
      <w:bookmarkStart w:id="3" w:name="OLE_LINK14"/>
    </w:p>
    <w:p w14:paraId="00EA5B3E" w14:textId="77777777" w:rsidR="00EF463F" w:rsidRDefault="00EF463F" w:rsidP="00931BA1">
      <w:pPr>
        <w:pStyle w:val="Title"/>
        <w:rPr>
          <w:rFonts w:cs="Nazanin"/>
          <w:b w:val="0"/>
          <w:bCs w:val="0"/>
          <w:sz w:val="28"/>
        </w:rPr>
      </w:pPr>
    </w:p>
    <w:bookmarkEnd w:id="0"/>
    <w:bookmarkEnd w:id="1"/>
    <w:bookmarkEnd w:id="2"/>
    <w:bookmarkEnd w:id="3"/>
    <w:p w14:paraId="62559ED0" w14:textId="77777777" w:rsidR="00686B05" w:rsidRPr="00686B05" w:rsidRDefault="00686B05" w:rsidP="00686B05">
      <w:pPr>
        <w:widowControl w:val="0"/>
        <w:jc w:val="center"/>
        <w:rPr>
          <w:rFonts w:cs="Nazanin"/>
          <w:b/>
          <w:bCs/>
          <w:sz w:val="28"/>
          <w:szCs w:val="36"/>
        </w:rPr>
      </w:pPr>
      <w:r w:rsidRPr="00686B05">
        <w:rPr>
          <w:rFonts w:cs="Nazanin"/>
          <w:b/>
          <w:bCs/>
          <w:sz w:val="28"/>
          <w:szCs w:val="36"/>
        </w:rPr>
        <w:t>Assessing the Effectiveness of Mediation in Cases Involving Violence Against Women: Risks and Benefits (A Comparative Study under Iranian and English Law)</w:t>
      </w:r>
    </w:p>
    <w:p w14:paraId="34E70A94" w14:textId="0112A07C" w:rsidR="00B55AB2" w:rsidRPr="00686B05" w:rsidRDefault="00B4352A" w:rsidP="00686B05">
      <w:pPr>
        <w:widowControl w:val="0"/>
        <w:rPr>
          <w:rFonts w:ascii="Garamond" w:hAnsi="Garamond" w:hint="cs"/>
          <w:color w:val="000000"/>
          <w:sz w:val="18"/>
          <w:szCs w:val="18"/>
        </w:rPr>
      </w:pPr>
      <w:r>
        <w:t> </w:t>
      </w:r>
    </w:p>
    <w:p w14:paraId="1FF790E7" w14:textId="77777777" w:rsidR="00CB67CE" w:rsidRDefault="00CB67CE" w:rsidP="00CB67CE">
      <w:pPr>
        <w:bidi/>
        <w:jc w:val="center"/>
        <w:rPr>
          <w:rFonts w:cs="Nazanin"/>
          <w:b/>
          <w:bCs/>
        </w:rPr>
      </w:pPr>
    </w:p>
    <w:p w14:paraId="3DC8624D" w14:textId="6B9ED6D7" w:rsidR="00747DF5" w:rsidRDefault="00686B05" w:rsidP="00686B05">
      <w:pPr>
        <w:bidi/>
        <w:jc w:val="center"/>
        <w:rPr>
          <w:rFonts w:cs="Nazanin"/>
          <w:sz w:val="28"/>
          <w:szCs w:val="36"/>
        </w:rPr>
      </w:pPr>
      <w:r>
        <w:rPr>
          <w:rFonts w:cs="Nazanin"/>
          <w:sz w:val="28"/>
          <w:szCs w:val="36"/>
        </w:rPr>
        <w:t>Zahra Alipour Panabandani</w:t>
      </w:r>
    </w:p>
    <w:p w14:paraId="3F2F26E0" w14:textId="77777777" w:rsidR="00686B05" w:rsidRDefault="00686B05" w:rsidP="00747DF5">
      <w:pPr>
        <w:bidi/>
        <w:jc w:val="center"/>
        <w:rPr>
          <w:rFonts w:cs="Nazanin"/>
          <w:b/>
          <w:bCs/>
        </w:rPr>
      </w:pPr>
      <w:r w:rsidRPr="00686B05">
        <w:rPr>
          <w:rFonts w:cs="Nazanin"/>
          <w:sz w:val="28"/>
          <w:szCs w:val="36"/>
        </w:rPr>
        <w:t>PhD student in Criminal Law and Criminology Azad University Central Tehran Branch</w:t>
      </w:r>
    </w:p>
    <w:p w14:paraId="6FAFBBFA" w14:textId="3272A32F" w:rsidR="00747DF5" w:rsidRDefault="00747DF5" w:rsidP="00686B05">
      <w:pPr>
        <w:bidi/>
        <w:jc w:val="center"/>
        <w:rPr>
          <w:rFonts w:cs="Nazanin"/>
          <w:b/>
          <w:bCs/>
          <w:rtl/>
        </w:rPr>
      </w:pPr>
    </w:p>
    <w:p w14:paraId="7CCADD81" w14:textId="705C2B5F" w:rsidR="00686B05" w:rsidRPr="00747DF5" w:rsidRDefault="00686B05" w:rsidP="00686B05">
      <w:pPr>
        <w:bidi/>
        <w:jc w:val="center"/>
        <w:rPr>
          <w:rFonts w:cs="Nazanin"/>
          <w:b/>
          <w:bCs/>
        </w:rPr>
      </w:pPr>
    </w:p>
    <w:p w14:paraId="777EB59F" w14:textId="77777777" w:rsidR="00F728DC" w:rsidRDefault="00F728DC" w:rsidP="00B55AB2">
      <w:pPr>
        <w:pStyle w:val="Heading2"/>
        <w:ind w:left="567" w:right="567"/>
        <w:jc w:val="both"/>
        <w:rPr>
          <w:rFonts w:cs="Nazanin"/>
          <w:sz w:val="28"/>
          <w:szCs w:val="28"/>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2F9E1C40" w14:textId="53A303D9" w:rsidR="00273820" w:rsidRPr="00686B05" w:rsidRDefault="00686B05" w:rsidP="00686B05">
      <w:pPr>
        <w:ind w:left="567" w:right="567"/>
        <w:jc w:val="both"/>
        <w:rPr>
          <w:rFonts w:hint="cs"/>
          <w:rtl/>
        </w:rPr>
      </w:pPr>
      <w:r w:rsidRPr="00686B05">
        <w:t>Violence against women, particularly within the family context, constitutes a significant challenge in contemporary criminal law and social policymaking. Due to its concealed nature, persistent character, and foundation in unequal power relations, addressing this phenomenon requires a precise and carefully calibrated approach. One of the notable instruments adopted by legal systems in recent years is the use of mediation as a non-judicial method for the resolution of such cases; however, its effectiveness in situations involving gender-based violence is subject to serious doubt. The principal issue addressed in this study is the critical evaluation of the effectiveness of mediation in cases of violence against women, as well as the identification of its advantages and challenges through a comparative examination of Iranian and English law</w:t>
      </w:r>
      <w:r w:rsidRPr="00686B05">
        <w:rPr>
          <w:rtl/>
          <w:lang w:bidi="fa-IR"/>
        </w:rPr>
        <w:t>.</w:t>
      </w:r>
      <w:r w:rsidRPr="00686B05">
        <w:t>This research employs a descriptive–analytical method and a comparative approach. By clarifying the nature of violence against women and the theoretical position of mediation within restorative justice, it examines the legal and procedural frameworks governing this institution in the two legal systems. The findings indicate that in Iranian law, a reconciliation-oriented approach and an emphasis on preserving the family have transformed mediation into a process characterised by limited oversight and, in some instances, one that runs contrary to the real interests of women subjected to violence. By contrast, English law, through the adoption of a precaution-based and victim-centred approach, applies mediation in a restricted and conditional manner, under supervision, and on the basis of risk assessment and guarantees for the woman’s safety</w:t>
      </w:r>
      <w:r w:rsidRPr="00686B05">
        <w:rPr>
          <w:rtl/>
          <w:lang w:bidi="fa-IR"/>
        </w:rPr>
        <w:t>.</w:t>
      </w:r>
      <w:r w:rsidRPr="00686B05">
        <w:t xml:space="preserve"> The innovation of this research lies in offering a critical analysis of mediation not merely as a dispute resolution tool, but as a potentially dangerous mechanism in situations marked by gender-based power imbalance. The results demonstrate that the realization of justice and the prevention of the reproduction of violence require a serious reconsideration of mediation policies and the prioritization of the principle of protecting women victims of violence over formalistic and reconciliation-oriented expediencies.</w:t>
      </w:r>
      <w:bookmarkStart w:id="4" w:name="OLE_LINK8"/>
      <w:bookmarkStart w:id="5" w:name="OLE_LINK9"/>
    </w:p>
    <w:p w14:paraId="4529F6EE" w14:textId="639C0535" w:rsidR="00D14553" w:rsidRPr="00D14553" w:rsidRDefault="00D26024" w:rsidP="00686B05">
      <w:pPr>
        <w:pStyle w:val="Heading2"/>
        <w:bidi w:val="0"/>
        <w:ind w:left="567" w:right="567"/>
        <w:jc w:val="both"/>
        <w:rPr>
          <w:rFonts w:cs="Nazanin" w:hint="cs"/>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686B05" w:rsidRPr="00686B05">
        <w:rPr>
          <w:rFonts w:cs="Traditional Arabic"/>
          <w:b w:val="0"/>
          <w:bCs w:val="0"/>
          <w:sz w:val="20"/>
          <w:szCs w:val="20"/>
        </w:rPr>
        <w:t>Violence against Women; Domestic Violence; Mediation; Restorative Justic</w:t>
      </w:r>
      <w:r w:rsidR="00686B05">
        <w:rPr>
          <w:rFonts w:cs="Traditional Arabic"/>
          <w:b w:val="0"/>
          <w:bCs w:val="0"/>
          <w:sz w:val="20"/>
          <w:szCs w:val="20"/>
        </w:rPr>
        <w:t xml:space="preserve">e; </w:t>
      </w:r>
      <w:r w:rsidR="00686B05" w:rsidRPr="00686B05">
        <w:rPr>
          <w:rFonts w:cs="Traditional Arabic"/>
          <w:b w:val="0"/>
          <w:bCs w:val="0"/>
          <w:sz w:val="20"/>
          <w:szCs w:val="20"/>
        </w:rPr>
        <w:t>Comparative Law of Iran and England.</w:t>
      </w:r>
    </w:p>
    <w:p w14:paraId="75F2DA5B" w14:textId="77777777" w:rsidR="00D14553" w:rsidRDefault="00D14553" w:rsidP="00D14553">
      <w:pPr>
        <w:bidi/>
        <w:jc w:val="center"/>
        <w:rPr>
          <w:rFonts w:cs="Nazanin" w:hint="cs"/>
          <w:b/>
          <w:bCs/>
          <w:sz w:val="28"/>
          <w:szCs w:val="32"/>
          <w:lang w:bidi="fa-IR"/>
        </w:rPr>
      </w:pPr>
    </w:p>
    <w:p w14:paraId="00AFC35B" w14:textId="280ACC11" w:rsidR="00D26024" w:rsidRDefault="00D26024" w:rsidP="00D26024">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70CB771A" w14:textId="7EE20369" w:rsidR="000B200C" w:rsidRDefault="00EF463F" w:rsidP="00686B05">
      <w:pPr>
        <w:rPr>
          <w:rFonts w:cs="Nazanin"/>
          <w:b/>
          <w:bCs/>
          <w:sz w:val="28"/>
          <w:szCs w:val="32"/>
          <w:rtl/>
          <w:lang w:bidi="fa-IR"/>
        </w:rPr>
      </w:pPr>
      <w:r>
        <w:rPr>
          <w:rFonts w:cs="Nazanin"/>
          <w:b/>
          <w:bCs/>
          <w:sz w:val="28"/>
          <w:szCs w:val="32"/>
          <w:rtl/>
          <w:lang w:bidi="fa-IR"/>
        </w:rPr>
        <w:br w:type="page"/>
      </w:r>
    </w:p>
    <w:p w14:paraId="3FA9DB24" w14:textId="77777777" w:rsidR="00686B05" w:rsidRDefault="00686B05" w:rsidP="00686B05">
      <w:pPr>
        <w:rPr>
          <w:rFonts w:cs="Nazanin"/>
          <w:b/>
          <w:bCs/>
          <w:sz w:val="28"/>
          <w:szCs w:val="32"/>
          <w:lang w:bidi="fa-IR"/>
        </w:rPr>
      </w:pPr>
    </w:p>
    <w:p w14:paraId="30B1D567" w14:textId="77777777" w:rsidR="00EA00F8" w:rsidRDefault="00EA00F8" w:rsidP="00EA00F8">
      <w:pPr>
        <w:bidi/>
        <w:jc w:val="center"/>
        <w:rPr>
          <w:rFonts w:cs="Nazanin"/>
          <w:b/>
          <w:bCs/>
          <w:sz w:val="28"/>
          <w:szCs w:val="32"/>
          <w:lang w:bidi="fa-IR"/>
        </w:rPr>
      </w:pPr>
    </w:p>
    <w:bookmarkEnd w:id="4"/>
    <w:bookmarkEnd w:id="5"/>
    <w:p w14:paraId="0201F0B5" w14:textId="3886A85B" w:rsidR="000B200C" w:rsidRPr="009120D2" w:rsidRDefault="00930CDA" w:rsidP="009120D2">
      <w:pPr>
        <w:rPr>
          <w:rFonts w:cs="Nazanin"/>
          <w:b/>
          <w:bCs/>
          <w:sz w:val="28"/>
          <w:szCs w:val="32"/>
          <w:lang w:bidi="fa-IR"/>
        </w:rPr>
      </w:pPr>
      <w:r>
        <w:rPr>
          <w:rFonts w:cs="Nazanin"/>
          <w:b/>
          <w:bCs/>
          <w:lang w:bidi="fa-IR"/>
        </w:rPr>
        <w:t>1.</w:t>
      </w:r>
      <w:bookmarkStart w:id="6" w:name="_GoBack"/>
      <w:bookmarkEnd w:id="6"/>
      <w:r w:rsidR="000B200C" w:rsidRPr="006A3018">
        <w:rPr>
          <w:rFonts w:cs="Nazanin"/>
          <w:b/>
          <w:bCs/>
          <w:lang w:bidi="fa-IR"/>
        </w:rPr>
        <w:t>Introduction</w:t>
      </w:r>
    </w:p>
    <w:p w14:paraId="34E04E67" w14:textId="77777777" w:rsidR="00686B05" w:rsidRPr="00686B05" w:rsidRDefault="00686B05" w:rsidP="00686B05">
      <w:pPr>
        <w:spacing w:line="232" w:lineRule="auto"/>
        <w:jc w:val="both"/>
      </w:pPr>
      <w:r w:rsidRPr="00686B05">
        <w:t>Violence against women, particularly when it occurs within the family context, constitutes a complex phenomenon encompassing legal, social, cultural, and religious dimensions. Owing to the private nature of the family institution, such violence often remains concealed from formal justice institutions. This form of violence not only threatens the dignity and personal security of women, but also, at a macro level, disrupts the fundamental functions of the family as the most basic social institution. Domestic studies indicate that violence against women within the family manifests in diverse forms—physical, psychological, economic, and sexual—and is by no means limited to physical acts alone (Salarifar, 2010, pp. 45–52)</w:t>
      </w:r>
      <w:r w:rsidRPr="00686B05">
        <w:rPr>
          <w:rtl/>
          <w:lang w:bidi="fa-IR"/>
        </w:rPr>
        <w:t>.</w:t>
      </w:r>
      <w:r w:rsidRPr="00686B05">
        <w:t>The formulation of the central problem of the present research arises from the reality that, despite the explicit emphasis of religious, legal, and ethical sources on the necessity of safeguarding women’s dignity and security within the family, a significant gap persists in practice between legal protections and the lived experiences of women subjected to violence. On the one hand, Iranian laws and legal policies, with their emphasis on preserving the family structure, have restricted criminal intervention in familial relations; on the other hand, this approach has, in certain cases, resulted in the neglect of unequal power relations between women and men and the continuation of violence</w:t>
      </w:r>
      <w:r w:rsidRPr="00686B05">
        <w:rPr>
          <w:rtl/>
          <w:lang w:bidi="fa-IR"/>
        </w:rPr>
        <w:t>.</w:t>
      </w:r>
      <w:r w:rsidRPr="00686B05">
        <w:t>This situation raises fundamental questions: Do the existing protective frameworks possess the capacity to respond effectively to the circumstances of women victims of violence? And does the use of non-criminal mechanisms such as mediation—particularly in situations characterized by domination-based violence—contribute to the realization of justice, or does it instead become a means for the reproduction of violence</w:t>
      </w:r>
      <w:r w:rsidRPr="00686B05">
        <w:rPr>
          <w:rtl/>
          <w:lang w:bidi="fa-IR"/>
        </w:rPr>
        <w:t>?</w:t>
      </w:r>
      <w:r w:rsidRPr="00686B05">
        <w:t>The primary objective of this research is to critically analyse the position of mediation in cases of violence against women, with a focus on assessing its effectiveness, advantages, and risks within Iranian law, and to compare this situation with the approach adopted in English law. The secondary objective of the article is to identify the legal conditions and requirements necessary for the safe and limited use of mediation in cases involving power imbalance and victim vulnerability, in such a manner that the principle of protecting women victims of violence is not undermined</w:t>
      </w:r>
      <w:r w:rsidRPr="00686B05">
        <w:rPr>
          <w:rFonts w:hint="cs"/>
          <w:rtl/>
          <w:lang w:bidi="fa-IR"/>
        </w:rPr>
        <w:t xml:space="preserve"> </w:t>
      </w:r>
      <w:r w:rsidRPr="00686B05">
        <w:rPr>
          <w:rtl/>
          <w:lang w:bidi="fa-IR"/>
        </w:rPr>
        <w:t>.</w:t>
      </w:r>
      <w:r w:rsidRPr="00686B05">
        <w:t>The importance and necessity of this research may be explained on several grounds. First, domestic violence against women, despite its ostensibly private character, entails far-reaching social consequences and may contribute to the reproduction of violence at the societal level. Second, domestic and international experiences demonstrate that both purely punitive policies and wholly reconciliation-oriented approaches prove ineffective in the absence of precise protective safeguards. In this context, international instruments and certain Western legal systems—most notably England—have sought, through the adoption of a precautionary approach to mediation in cases of domestic violence, to strike a balance between victim protection and the reduction of criminal intervention. A comparative examination of this approach may therefore offer valuable insights for legal policymaking in Iran.</w:t>
      </w:r>
    </w:p>
    <w:p w14:paraId="1C2CA0F2" w14:textId="77777777" w:rsidR="00686B05" w:rsidRPr="00686B05" w:rsidRDefault="00686B05" w:rsidP="00686B05">
      <w:pPr>
        <w:spacing w:line="232" w:lineRule="auto"/>
        <w:jc w:val="both"/>
      </w:pPr>
      <w:r w:rsidRPr="00686B05">
        <w:t>The literature in Iran indicates that numerous studies have addressed violence against women from various perspectives; however, few have provided a precise and critical analysis of dispute resolution institutions, particularly mediation, in this domain. For instance, the article “A Comparative Study of National and International Laws on Combating Domestic Violence against Women” by Mir Jafari et al. (2021, Women's Jurisprudence and Family Studies, No. 8, pp. 7–32) focuses on the Women’s Security Bill and international instruments, analysing the strengths and weaknesses of legislative policies. While it mentions mediation as a proposed solution, it does not critically assess its risks in situations of power-imbalanced violence</w:t>
      </w:r>
      <w:r w:rsidRPr="00686B05">
        <w:rPr>
          <w:rtl/>
          <w:lang w:bidi="fa-IR"/>
        </w:rPr>
        <w:t>.</w:t>
      </w:r>
      <w:r w:rsidRPr="00686B05">
        <w:t xml:space="preserve"> Similarly, the book Domestic Violence against Women by Salarifar (2010) provides a comprehensive account of the types and causes of violence and emphasizes the necessity of supportive and cultural interventions, but it largely examines dispute resolution institutions from an ethical and preventive perspective. The joint work by Salarifar and Tabik, Combating Domestic Violence against Women (2010), primarily adopts an educational and strategic approach, offering little institutional or legal analysis of mediation</w:t>
      </w:r>
      <w:r w:rsidRPr="00686B05">
        <w:rPr>
          <w:rtl/>
          <w:lang w:bidi="fa-IR"/>
        </w:rPr>
        <w:t>.</w:t>
      </w:r>
      <w:r w:rsidRPr="00686B05">
        <w:t>At the theoretical level, Khosroshahi and Yeraqi (2013, Women’s Strategic Studies, No. 62, pp. 147–176) critique the Convention on the Elimination of All Forms of Discrimination against Women, highlighting differences between Western human rights principles and the Islamic legal system, and emphasizing the risk of conflict between family-oriented values and imported models. Hedayatnia (2005, Women’s Strategic Studies, No. 27, pp. 76–112), in his critique of arbitration and reconciliation in family disputes, points to practical challenges and the weakness of protective guarantees—findings that can indirectly inform the analysis of mediation in violence cases</w:t>
      </w:r>
      <w:r w:rsidRPr="00686B05">
        <w:rPr>
          <w:rtl/>
          <w:lang w:bidi="fa-IR"/>
        </w:rPr>
        <w:t>.</w:t>
      </w:r>
      <w:r w:rsidRPr="00686B05">
        <w:t>Overall, the primary innovation of the present study, compared to prior works, is that whereas existing research either focuses on the legislative aspects of violence against women or discusses mediation in a general, undifferentiated manner, this article specifically and purposefully provides a critical evaluation of mediation in cases of violence against women. Through a comparative approach, it elucidates the risks of this institution under conditions of power imbalance. Moreover, the comparative study of Iranian and English law allows for the proposition of a conditional, context-sensitive model grounded in protective guarantees—a model that neither advocates the outright rejection of mediation nor falls into unsafe conciliatory practices, but emphasizes the primacy of the safety and dignity of women victims of violence.</w:t>
      </w:r>
    </w:p>
    <w:p w14:paraId="772725BC" w14:textId="77777777" w:rsidR="00686B05" w:rsidRPr="00686B05" w:rsidRDefault="00686B05" w:rsidP="00686B05">
      <w:pPr>
        <w:spacing w:line="232" w:lineRule="auto"/>
        <w:jc w:val="both"/>
      </w:pPr>
      <w:r w:rsidRPr="00686B05">
        <w:t>2</w:t>
      </w:r>
      <w:r w:rsidRPr="00686B05">
        <w:rPr>
          <w:rtl/>
          <w:lang w:bidi="fa-IR"/>
        </w:rPr>
        <w:t xml:space="preserve">. </w:t>
      </w:r>
      <w:r w:rsidRPr="00686B05">
        <w:t>The Theoretical Foundations of Mediation in Cases of Violence against Women</w:t>
      </w:r>
    </w:p>
    <w:p w14:paraId="33DFA03C" w14:textId="77777777" w:rsidR="00686B05" w:rsidRPr="00686B05" w:rsidRDefault="00686B05" w:rsidP="00686B05">
      <w:pPr>
        <w:spacing w:line="232" w:lineRule="auto"/>
        <w:jc w:val="both"/>
      </w:pPr>
      <w:r w:rsidRPr="00686B05">
        <w:t xml:space="preserve">Any examination of the feasibility and limits of applying mediation in cases of violence against women, without first clarifying the theoretical foundations of core concepts such as “violence,” “domestic violence,” and the “structural characteristics of this form of violence,” would be incomplete and, at times, misleading. Mediation, as an institution </w:t>
      </w:r>
      <w:r w:rsidRPr="00686B05">
        <w:lastRenderedPageBreak/>
        <w:t>grounded in equal dialogue and the free consent of the parties, can only approximate the realization of justice when the nature of the dispute, the positions of the parties, and the social and psychological contexts governing their relationship are properly understood and analyzed. In cases of violence against women, the dispute is not merely a simple legal conflict between two equal individuals; rather, it often arises within a framework of structural power imbalance, economic dependency, cultural pressures, and prevailing social norms—factors that distinguish the nature of these cases from other civil or criminal disputes (Salarifar, 2010, p. 61). Accordingly, prior to addressing the advantages and risks of mediation, it is necessary to provide a precise articulation of the concept of violence against women and its manifestations, both within international legal instruments and within the Iranian legal system.</w:t>
      </w:r>
    </w:p>
    <w:p w14:paraId="2512F47E" w14:textId="77777777" w:rsidR="00686B05" w:rsidRPr="00686B05" w:rsidRDefault="00686B05" w:rsidP="00686B05">
      <w:pPr>
        <w:spacing w:line="232" w:lineRule="auto"/>
        <w:jc w:val="both"/>
      </w:pPr>
      <w:r w:rsidRPr="00686B05">
        <w:t>1</w:t>
      </w:r>
      <w:r w:rsidRPr="00686B05">
        <w:rPr>
          <w:rtl/>
          <w:lang w:bidi="fa-IR"/>
        </w:rPr>
        <w:t xml:space="preserve">–2. </w:t>
      </w:r>
      <w:r w:rsidRPr="00686B05">
        <w:t>Definition of Violence against Women</w:t>
      </w:r>
    </w:p>
    <w:p w14:paraId="633A3F51" w14:textId="77777777" w:rsidR="00686B05" w:rsidRPr="00686B05" w:rsidRDefault="00686B05" w:rsidP="00686B05">
      <w:pPr>
        <w:spacing w:line="232" w:lineRule="auto"/>
        <w:jc w:val="both"/>
      </w:pPr>
      <w:r w:rsidRPr="00686B05">
        <w:t>Violence against women is a multidimensional and context-dependent concept, the definition of which is shaped by the normative, cultural, and legal frameworks of each legal system. The lack of a single, universally accepted definition of violence is itself considered a contributing factor to its continuation and reproduction across societies; accordingly, conduct that is regarded as an explicit manifestation of violence in one cultural context may, in another, be perceived as legitimate or even corrective behavior (Cheraghi Koutiani, 2008, p. 92)</w:t>
      </w:r>
      <w:r w:rsidRPr="00686B05">
        <w:rPr>
          <w:rtl/>
          <w:lang w:bidi="fa-IR"/>
        </w:rPr>
        <w:t>.</w:t>
      </w:r>
      <w:r w:rsidRPr="00686B05">
        <w:t>In its lexical sense, violence denotes harshness, coerciveness, and severity in conduct (Dehkhoda, 1998, vol. 6, p. 95; Amid, 2010, p. 21; Moein, 2010, p. 25). However, the legal conception of violence against women transcends its literal meaning and refers to any act or omission that impairs or threatens a woman’s dignity, security, or physical or psychological integrity. This conception varies significantly in terms of its substantive scope and illustrative manifestations, depending on whether it is articulated within international legal instruments or within the Iranian legal system.</w:t>
      </w:r>
    </w:p>
    <w:p w14:paraId="4C9BF372" w14:textId="77777777" w:rsidR="00686B05" w:rsidRPr="00686B05" w:rsidRDefault="00686B05" w:rsidP="00686B05">
      <w:pPr>
        <w:spacing w:line="232" w:lineRule="auto"/>
        <w:jc w:val="both"/>
      </w:pPr>
      <w:r w:rsidRPr="00686B05">
        <w:t>1</w:t>
      </w:r>
      <w:r w:rsidRPr="00686B05">
        <w:rPr>
          <w:rtl/>
          <w:lang w:bidi="fa-IR"/>
        </w:rPr>
        <w:t xml:space="preserve">–1–2. </w:t>
      </w:r>
      <w:r w:rsidRPr="00686B05">
        <w:t>Definition of Violence against Women in International Instruments</w:t>
      </w:r>
    </w:p>
    <w:p w14:paraId="15D74145" w14:textId="77777777" w:rsidR="00686B05" w:rsidRPr="00686B05" w:rsidRDefault="00686B05" w:rsidP="00686B05">
      <w:pPr>
        <w:spacing w:line="232" w:lineRule="auto"/>
        <w:jc w:val="both"/>
      </w:pPr>
      <w:r w:rsidRPr="00686B05">
        <w:t>In international human rights instruments, violence against women is predominantly analyzed within egalitarian and feminist frameworks and is conceptualized as a manifestation of structural discrimination against women (Cheraghi Koutiani, 2008, p. 94). Although the Convention on the Elimination of All Forms of Discrimination against Women (CEDAW) does not expressly provide an autonomous definition of violence, the Committee on the Elimination of Discrimination against Women, in its General Recommendation No. 19, characterizes violence against women as a form of discrimination that impairs or nullifies women’s enjoyment of fundamental rights and freedoms (Khosroshahi &amp; Yaraghi, 2013, p. 153)</w:t>
      </w:r>
      <w:r w:rsidRPr="00686B05">
        <w:rPr>
          <w:rtl/>
          <w:lang w:bidi="fa-IR"/>
        </w:rPr>
        <w:t>.</w:t>
      </w:r>
      <w:r w:rsidRPr="00686B05">
        <w:t>The most authoritative explicit definition in this regard is set forth in the 1993 United Nations Declaration on the Elimination of Violence against Women. Pursuant to Article 1 of the Declaration, violence against women is defined as</w:t>
      </w:r>
      <w:r w:rsidRPr="00686B05">
        <w:rPr>
          <w:rtl/>
          <w:lang w:bidi="fa-IR"/>
        </w:rPr>
        <w:t>:</w:t>
      </w:r>
      <w:r w:rsidRPr="00686B05">
        <w:t xml:space="preserve"> "any act of gender-based violence that results in, or is likely to result in, physical, sexual, or psychological harm or suffering to women, including threats of such acts, coercion, or arbitrary deprivation of liberty, whether occurring in public or in private life” (Mertous et al., 2003, p. 21)</w:t>
      </w:r>
      <w:r w:rsidRPr="00686B05">
        <w:rPr>
          <w:rtl/>
          <w:lang w:bidi="fa-IR"/>
        </w:rPr>
        <w:t>.</w:t>
      </w:r>
      <w:r w:rsidRPr="00686B05">
        <w:t>It is noteworthy that, under this definition, the scope of violence is not confined to physical acts, but extends to behaviors such as threats, coercion, and even structural forms of deprivation. While this broad conceptualization has contributed to enhancing the level of protection afforded to women, it has also given rise to challenges in certain non-Western legal systems, including Iran, particularly with regard to its compatibility with prevailing cultural and jurisprudential foundations (Vakili, 2005, p. 138).</w:t>
      </w:r>
    </w:p>
    <w:p w14:paraId="7DEFBA45" w14:textId="77777777" w:rsidR="00686B05" w:rsidRPr="00686B05" w:rsidRDefault="00686B05" w:rsidP="00686B05">
      <w:pPr>
        <w:spacing w:line="232" w:lineRule="auto"/>
        <w:jc w:val="both"/>
      </w:pPr>
      <w:r w:rsidRPr="00686B05">
        <w:t>2</w:t>
      </w:r>
      <w:r w:rsidRPr="00686B05">
        <w:rPr>
          <w:rtl/>
          <w:lang w:bidi="fa-IR"/>
        </w:rPr>
        <w:t xml:space="preserve">–1–2. </w:t>
      </w:r>
      <w:r w:rsidRPr="00686B05">
        <w:t>The Concept of Domestic Violence against Women in Iranian Law</w:t>
      </w:r>
    </w:p>
    <w:p w14:paraId="70C9F0D5" w14:textId="77777777" w:rsidR="00686B05" w:rsidRPr="00686B05" w:rsidRDefault="00686B05" w:rsidP="00686B05">
      <w:pPr>
        <w:spacing w:line="232" w:lineRule="auto"/>
        <w:jc w:val="both"/>
      </w:pPr>
      <w:r w:rsidRPr="00686B05">
        <w:t>In Iranian law, unlike international instruments, no comprehensive and autonomous definition of “domestic violence” has been provided, and this concept is inferred implicitly and in a fragmented manner from civil, criminal, and protective legislation. The prevailing approach of the Iranian legal system in conceptualizing violence is influenced by the religious and ethical foundations of Islam, within which violence is regarded as reprehensible and blameworthy conduct, while, at the same time, a distinction is drawn between unjustified violence and certain behaviors grounded in legal rights and duties (Motahhari, 2016, p. 124)</w:t>
      </w:r>
      <w:r w:rsidRPr="00686B05">
        <w:rPr>
          <w:rtl/>
          <w:lang w:bidi="fa-IR"/>
        </w:rPr>
        <w:t>.</w:t>
      </w:r>
      <w:r w:rsidRPr="00686B05">
        <w:t>From an Islamic perspective, any form of abuse, oppression, or violation of dignity directed against women is condemned and prohibited, and the human dignity of women is emphasized as a fundamental principle (Tabatabaei, 2001, vol. 1, p. 371). In this regard, Nourmohammadi considers violence against women to constitute conduct that lacks religious legitimacy and is incompatible with the moral and educational objectives of Islam (Nourmohammadi, 2010, p. 58)</w:t>
      </w:r>
      <w:r w:rsidRPr="00686B05">
        <w:rPr>
          <w:rtl/>
          <w:lang w:bidi="fa-IR"/>
        </w:rPr>
        <w:t>.</w:t>
      </w:r>
      <w:r w:rsidRPr="00686B05">
        <w:t>Nevertheless, the relative silence of Iranian legislation with respect to a clear definition of domestic violence has resulted in the identification of its instances being, in practice, largely left to the customary and discretionary interpretations of adjudicative authorities—an issue that may lead to the overlooking of latent, non-physical forms of violence against women (Salarifar &amp; Tabik, 2010, p. 79).</w:t>
      </w:r>
    </w:p>
    <w:p w14:paraId="0E2920AE" w14:textId="77777777" w:rsidR="00686B05" w:rsidRPr="00686B05" w:rsidRDefault="00686B05" w:rsidP="00686B05">
      <w:pPr>
        <w:spacing w:line="232" w:lineRule="auto"/>
        <w:jc w:val="both"/>
      </w:pPr>
    </w:p>
    <w:p w14:paraId="5AD76C15" w14:textId="77777777" w:rsidR="00686B05" w:rsidRPr="00686B05" w:rsidRDefault="00686B05" w:rsidP="00686B05">
      <w:pPr>
        <w:spacing w:line="232" w:lineRule="auto"/>
        <w:jc w:val="both"/>
      </w:pPr>
      <w:r w:rsidRPr="00686B05">
        <w:rPr>
          <w:b/>
          <w:bCs/>
        </w:rPr>
        <w:t>1-2-1-2. Dimensions of Domestic Violence Against Women</w:t>
      </w:r>
    </w:p>
    <w:p w14:paraId="155A364D" w14:textId="77777777" w:rsidR="00686B05" w:rsidRPr="00686B05" w:rsidRDefault="00686B05" w:rsidP="00686B05">
      <w:pPr>
        <w:spacing w:line="232" w:lineRule="auto"/>
        <w:jc w:val="both"/>
      </w:pPr>
      <w:r w:rsidRPr="00686B05">
        <w:t>Domestic violence against women may be classified into four principal dimensions.</w:t>
      </w:r>
    </w:p>
    <w:p w14:paraId="40E1E530" w14:textId="77777777" w:rsidR="00686B05" w:rsidRPr="00686B05" w:rsidRDefault="00686B05" w:rsidP="00686B05">
      <w:pPr>
        <w:spacing w:line="232" w:lineRule="auto"/>
        <w:jc w:val="both"/>
      </w:pPr>
      <w:r w:rsidRPr="00686B05">
        <w:rPr>
          <w:b/>
          <w:bCs/>
        </w:rPr>
        <w:t>(a) Physical Violence</w:t>
      </w:r>
      <w:r w:rsidRPr="00686B05">
        <w:br/>
        <w:t>Physical violence is the most visible and readily identifiable form of violence and includes any physically harmful conduct such as assault and battery, bodily injury, unlawful confinement, and threats of physical harm. In Iranian law, this form of violence is generally prosecutable under specific criminal charges. However, restricting the concept of violence to this dimension alone results in the neglect of more concealed forms of abuse (Salarifar, 2010, p. 49).</w:t>
      </w:r>
    </w:p>
    <w:p w14:paraId="35224BA3" w14:textId="77777777" w:rsidR="00686B05" w:rsidRPr="00686B05" w:rsidRDefault="00686B05" w:rsidP="00686B05">
      <w:pPr>
        <w:spacing w:line="232" w:lineRule="auto"/>
        <w:jc w:val="both"/>
      </w:pPr>
      <w:r w:rsidRPr="00686B05">
        <w:rPr>
          <w:b/>
          <w:bCs/>
        </w:rPr>
        <w:t>(b) Psychological Violence</w:t>
      </w:r>
      <w:r w:rsidRPr="00686B05">
        <w:br/>
        <w:t xml:space="preserve">Psychological violence encompasses humiliation, insults, threats, intimidation, behavioral control, and the creation of a persistent state of fear in women. Although this form of violence does not usually produce immediate physical injury, </w:t>
      </w:r>
      <w:r w:rsidRPr="00686B05">
        <w:lastRenderedPageBreak/>
        <w:t>it often causes far deeper and more enduring harm to the victim’s personality and mental health (McQueeg, 2015, p. 67). Within Iranian law, this dimension of violence has received limited recognition as an independent category.</w:t>
      </w:r>
    </w:p>
    <w:p w14:paraId="7FBC86F3" w14:textId="77777777" w:rsidR="00686B05" w:rsidRPr="00686B05" w:rsidRDefault="00686B05" w:rsidP="00686B05">
      <w:pPr>
        <w:spacing w:line="232" w:lineRule="auto"/>
        <w:jc w:val="both"/>
      </w:pPr>
      <w:r w:rsidRPr="00686B05">
        <w:rPr>
          <w:b/>
          <w:bCs/>
        </w:rPr>
        <w:t>(c) Economic Violence</w:t>
      </w:r>
      <w:r w:rsidRPr="00686B05">
        <w:br/>
        <w:t>Economic violence refers to depriving women of financial resources, prohibiting employment, exercising complete control over assets, or imposing enforced economic dependence. This form of violence facilitates the continuation of other types of abuse and constitutes a serious barrier to a woman’s ability to exit the cycle of violence (Kalhor &amp; Arhaami, 2013, p. 73).</w:t>
      </w:r>
    </w:p>
    <w:p w14:paraId="7E921734" w14:textId="77777777" w:rsidR="00686B05" w:rsidRPr="00686B05" w:rsidRDefault="00686B05" w:rsidP="00686B05">
      <w:pPr>
        <w:spacing w:line="232" w:lineRule="auto"/>
        <w:jc w:val="both"/>
      </w:pPr>
      <w:r w:rsidRPr="00686B05">
        <w:rPr>
          <w:b/>
          <w:bCs/>
        </w:rPr>
        <w:t>(d) Sexual Violence</w:t>
      </w:r>
      <w:r w:rsidRPr="00686B05">
        <w:br/>
        <w:t>Sexual violence includes any coerced, unwanted, or forced sexual conduct. International instruments recognize even non-consensual sexual relations as a form of violence. In contrast, within Iranian law, this issue—due to jurisprudential and religious considerations—has been subject to more limited and divergent interpretations (Comparative Study of National and International Laws, 2021, p. 18).</w:t>
      </w:r>
    </w:p>
    <w:p w14:paraId="45911AB4" w14:textId="77777777" w:rsidR="00686B05" w:rsidRPr="00686B05" w:rsidRDefault="00686B05" w:rsidP="00686B05">
      <w:pPr>
        <w:spacing w:line="232" w:lineRule="auto"/>
        <w:jc w:val="both"/>
      </w:pPr>
      <w:r w:rsidRPr="00686B05">
        <w:t>The diversity and complexity of these dimensions of violence against women demonstrate that cases involving such conduct possess a distinctive and highly sensitive character that cannot be assessed using the criteria applicable to ordinary disputes. It is precisely this characteristic that renders the use of mediation in this field particularly challenging and in need of critical evaluation—an issue that forms the basis for the subsequent analysis of the effectiveness or ineffectiveness of mediation in Iranian and English law.</w:t>
      </w:r>
    </w:p>
    <w:p w14:paraId="6ABA4C1F" w14:textId="77777777" w:rsidR="00686B05" w:rsidRPr="00686B05" w:rsidRDefault="00686B05" w:rsidP="00686B05">
      <w:pPr>
        <w:spacing w:line="232" w:lineRule="auto"/>
        <w:jc w:val="both"/>
      </w:pPr>
      <w:r w:rsidRPr="00686B05">
        <w:t>2-2. Mediation: Definition, Legal Nature, and Objectives</w:t>
      </w:r>
    </w:p>
    <w:p w14:paraId="08072E36" w14:textId="77777777" w:rsidR="00686B05" w:rsidRPr="00686B05" w:rsidRDefault="00686B05" w:rsidP="00686B05">
      <w:pPr>
        <w:spacing w:line="232" w:lineRule="auto"/>
        <w:jc w:val="both"/>
      </w:pPr>
      <w:r w:rsidRPr="00686B05">
        <w:t>Mediation, as one of the most salient mechanisms of consensual justice and restorative justice, has, in recent decades, come to occupy a central position within the criminal justice policies of many jurisdictions. Unlike traditional judicial adjudication, which is primarily structured around adversarial proceedings and the authoritative issuance of judicial decisions, mediation is grounded in facilitated dialogue, the repair of disrupted social relations, and the meaningful participation of the disputing parties in the resolution process. However, the effectiveness and normative legitimacy of mediation are profoundly dependent upon the nature of the dispute, the legal and social positioning of the parties, and, critically, the existence or absence of power asymmetry between them. This concern assumes heightened importance in cases involving violence against women, where structural inequality and coercive dynamics are often inherent. Consequently, any examination of mediation in this domain cannot rely on abstract, value-neutral definitions. Instead, the concept, legal nature, and objectives of mediation must be evaluated with due regard to the particular characteristics of violence-based offenses, especially those arising in the context of domestic violence.</w:t>
      </w:r>
    </w:p>
    <w:p w14:paraId="16848524" w14:textId="77777777" w:rsidR="00686B05" w:rsidRPr="00686B05" w:rsidRDefault="00686B05" w:rsidP="00686B05">
      <w:pPr>
        <w:spacing w:line="232" w:lineRule="auto"/>
        <w:jc w:val="both"/>
      </w:pPr>
      <w:r w:rsidRPr="00686B05">
        <w:rPr>
          <w:b/>
          <w:bCs/>
        </w:rPr>
        <w:t>2-2-2. The Position of Mediation within Restorative Justice</w:t>
      </w:r>
    </w:p>
    <w:p w14:paraId="74F48067" w14:textId="77777777" w:rsidR="00686B05" w:rsidRPr="00686B05" w:rsidRDefault="00686B05" w:rsidP="00686B05">
      <w:pPr>
        <w:spacing w:line="232" w:lineRule="auto"/>
        <w:jc w:val="both"/>
      </w:pPr>
      <w:r w:rsidRPr="00686B05">
        <w:t>From a theoretical perspective, mediation is regarded as one of the principal mechanisms for the realization of restorative justice. Restorative justice is premised on the assumption that crime is not merely a violation of the law, but rather a harm inflicted upon individuals and social relationships; accordingly, an appropriate response should focus on repairing such harms, rather than solely on punishing the offender (Zehr, 2015, p. 23).Within the restorative justice framework, victim–offender mediation is designed to pursue objectives such as the offender’s acceptance of responsibility, reparation of material and non-material harm, the empowerment of the victim, and the reconstruction of social relationships (Braithwaite, 2002, p. 41). In minor offenses and crimes lacking structural or coercive violence, these objectives are often attainable, as it is generally assumed that the victim is able to express their will freely and without fear. However, in cases involving violence against women—particularly domestic violence—this assumption is subject to serious doubt. In such cases, the relationship between the victim and the offender is typically ongoing, emotionally charged, and characterized by various forms of dependency. These dynamics fundamentally undermine the genuine realization of the goals of restorative justice and place the effectiveness of mediation in this context under significant challenge (Salarifar &amp; Tabik, 2010, p. 103).</w:t>
      </w:r>
    </w:p>
    <w:p w14:paraId="62EEF6D0" w14:textId="77777777" w:rsidR="00686B05" w:rsidRPr="00686B05" w:rsidRDefault="00686B05" w:rsidP="00686B05">
      <w:pPr>
        <w:spacing w:line="232" w:lineRule="auto"/>
        <w:jc w:val="both"/>
      </w:pPr>
      <w:r w:rsidRPr="00686B05">
        <w:rPr>
          <w:b/>
          <w:bCs/>
        </w:rPr>
        <w:t>1-2-2-2. The Distinction Between Mediation in Ordinary Offenses and Power-Imbalanced Cases</w:t>
      </w:r>
    </w:p>
    <w:p w14:paraId="047F6C19" w14:textId="77777777" w:rsidR="00686B05" w:rsidRPr="00686B05" w:rsidRDefault="00686B05" w:rsidP="00686B05">
      <w:pPr>
        <w:spacing w:line="232" w:lineRule="auto"/>
        <w:jc w:val="both"/>
      </w:pPr>
      <w:r w:rsidRPr="00686B05">
        <w:t>The fundamental distinction between mediation in ordinary offenses and in violence-based cases lies in the issue of power imbalance. In ordinary offenses—such as minor financial infractions or simple altercations—the parties typically occupy relatively comparable legal and psychological positions, and the conditions for open and voluntary dialogue are generally present. Under such circumstances, mediation can lead to reduced procedural costs and increased party satisfaction. By contrast, in cases involving violence against women, power imbalance manifests simultaneously across multiple dimensions: physical power, economic power, psychological power, and socio-cultural power. A female victim may be financially dependent on the offender, fear social ostracism or the dissolution of the family unit, or be compelled toward “conciliation” under familial or customary pressures (Comparative Study of National and International Laws, 2021, no. 8, p. 20).Within such a context, mediation may cease to function as a restorative mechanism and instead operate as a means of entrenching domination and reproducing violence, insofar as the victim’s expressed consent does not necessarily reflect genuine and freely given consent. For this reason, many restorative justice theorists consider the use of mediation in such cases defensible only where stringent protective safeguards are in place, including comprehensive risk assessment, the involvement of specialized counselors, and the victim’s unrestricted right to withdraw from the process at any stage (Zehr, 2015, p. 67).In Iranian law, the compromise-oriented approach adopted by institutions such as the Dispute Resolution Councils, in the absence of precise mechanisms for assessing power imbalance, has exacerbated this risk. As a result, mediation in practice has at times come into conflict with the fundamental principle of protecting women subjected to violence (Hedayatnia, 2005, p. 94)</w:t>
      </w:r>
    </w:p>
    <w:p w14:paraId="2762A917" w14:textId="77777777" w:rsidR="00686B05" w:rsidRPr="00686B05" w:rsidRDefault="00686B05" w:rsidP="00686B05">
      <w:pPr>
        <w:spacing w:line="232" w:lineRule="auto"/>
        <w:jc w:val="both"/>
      </w:pPr>
      <w:r w:rsidRPr="00686B05">
        <w:rPr>
          <w:b/>
          <w:bCs/>
        </w:rPr>
        <w:lastRenderedPageBreak/>
        <w:t>3. Mediation in Cases of Violence Against Women under Iranian Law</w:t>
      </w:r>
    </w:p>
    <w:p w14:paraId="0EFD9F11" w14:textId="77777777" w:rsidR="00686B05" w:rsidRPr="00686B05" w:rsidRDefault="00686B05" w:rsidP="00686B05">
      <w:pPr>
        <w:spacing w:line="232" w:lineRule="auto"/>
        <w:jc w:val="both"/>
      </w:pPr>
      <w:r w:rsidRPr="00686B05">
        <w:t>An analysis of mediation in cases involving violence against women under Iranian law necessitates a concurrent examination of the normative architecture of the legal system, legislative and judicial criminal policy, and the socio-cultural configuration of the family institution. Within the Iranian legal order—unlike in certain Western jurisdictions—domestic violence against women has not been recognized as a distinct and comprehensive criminal offense. Rather, legal responses to such violence are dispersed across a fragmented body of criminal, civil, and protective norms. Within this institutional arrangement, mediation is not conceived as an exceptional or strictly conditional mechanism; instead, it is frequently regarded as a preferred and even normative method for the resolution of family-related disputes. The dominant approach adopted by the Iranian legislature and judicial policymakers, shaped by Islamic jurisprudential principles as well as broader social considerations, is centered on preserving the integrity of the family, preventing the disintegration of marital relationships, and limiting penal state intervention in the private sphere of family life. While this orientation is ostensibly justified by values such as reconciliation, compromise, and the consolidation of the family unit, it encounters profound difficulties in cases involving violence against women. In such cases, the family does not merely constitute a neutral arena of conflict, but often operates as a structural context for systemic power asymmetries and the recurrent exercise of violence (Comparative Study of National and International Laws, 2021, no. 8, p. 9).From this vantage point, the referral of such cases to mediation—absent a rigorous and context-sensitive assessment of the victim’s circumstances and the prevailing power dynamics within the family—risks recharacterizing structural and gendered violence as an ordinary familial disagreement. Empirically, institutions such as the Dispute Resolution Councils, and even certain judicial authorities, drawing upon a deeply entrenched compromise-oriented rationale, tend to view mediation as a low-cost, expedited, and ostensibly non-confrontational solution. This practice has, in some instances, resulted in implicit or explicit pressure being exerted on women subjected to violence to waive their complaints, consent to reconciliation, or return to the status quo ante (Hedayatnia, 2005, p. 94).At the same time, it would be inaccurate to disregard the potential normative openings created by the 2013 Code of Criminal Procedure and the Judiciary’s adoption of restorative justice-oriented policies, which have introduced conceptual space for rethinking responses to criminal conduct, including forms of intra-family violence. The critical question, however, is whether these normative capacities—in the absence of an autonomous criminalization of domestic violence and in the absence of institutionalized mechanisms for assessing power imbalance and ensuring victim safety—are capable of delivering meaningful and effective protection to women subjected to violence.Accordingly, this section undertakes an analysis of the legal foundations of mediation under Iranian law—encompassing Articles 82 and 83 of the Code of Criminal Procedure, the institutional role of the Dispute Resolution Councils, the Judiciary’s policy frameworks, and the substantive provisions of the Bill on Ensuring the Security of Women Against Violence—in order to demonstrate that mediation within the Iranian legal system is shaped less by a differentiated, victim-centered protective logic than by a reconciliation-driven and family-centric orientation embedded in the broader criminal justice policy.</w:t>
      </w:r>
    </w:p>
    <w:p w14:paraId="32CBFC22" w14:textId="77777777" w:rsidR="00686B05" w:rsidRPr="00686B05" w:rsidRDefault="00686B05" w:rsidP="00686B05">
      <w:pPr>
        <w:spacing w:line="232" w:lineRule="auto"/>
        <w:jc w:val="both"/>
      </w:pPr>
      <w:r w:rsidRPr="00686B05">
        <w:rPr>
          <w:b/>
          <w:bCs/>
        </w:rPr>
        <w:t>3–1. Legal Foundations</w:t>
      </w:r>
    </w:p>
    <w:p w14:paraId="56947D97" w14:textId="77777777" w:rsidR="00686B05" w:rsidRPr="00686B05" w:rsidRDefault="00686B05" w:rsidP="00686B05">
      <w:pPr>
        <w:spacing w:line="232" w:lineRule="auto"/>
        <w:jc w:val="both"/>
      </w:pPr>
      <w:r w:rsidRPr="00686B05">
        <w:t>The application of mediation in cases of violence against women under Iranian law—unlike in certain Western jurisdictions—is not grounded in the criminalization of domestic violence as a discrete offense, but rather is primarily shaped by a reconciliation-oriented approach, the preservation of the family institution, and the minimization of criminal state intervention. This orientation is reflected across multiple legal and institutional instruments, including the provisions of the Code of Criminal Procedure, the institutional framework of the Dispute Resolution Councils, the publicly stated policies of the Judiciary, and the provisions of the Bill on Ensuring the Security of Women Against Violence. A critical examination of these foundations, however, reveals that the absence of a clear distinction between ordinary offenses and violence-based crimes, as well as the lack of mechanisms for assessing power imbalances, constitute some of the primary challenges facing the Iranian legal system in this domain.</w:t>
      </w:r>
    </w:p>
    <w:p w14:paraId="19A2F083" w14:textId="77777777" w:rsidR="00686B05" w:rsidRPr="00686B05" w:rsidRDefault="00686B05" w:rsidP="00686B05">
      <w:pPr>
        <w:spacing w:line="232" w:lineRule="auto"/>
        <w:jc w:val="both"/>
      </w:pPr>
      <w:r w:rsidRPr="00686B05">
        <w:t>The 2013 Code of Criminal Procedure (and its subsequent amendments) introduced, for the first time in a relatively coherent framework, restorative justice mechanisms, including mediation, into the Iranian criminal justice system. Article 82 stipulates that, in cases of offenses subject to victim pardon and certain tazir crimes of degrees six to eight, the judicial authority may, with the consent of the parties, suspend formal proceedings and refer the dispute to mediation. Article 83 further delineates the conditions, legal effects, and procedural limits governing the implementation of this process. At first sight, these provisions appear to be designed to alleviate judicial backlog, facilitate compensation for the victim, and encourage active participation of the parties in dispute resolution (Mousavi, 2015, p. 62). Nevertheless, the legislature does not draw a clear distinction among offenses based on the nature of violence, the relational context between the parties, or the balance of power between them. As a result, in practice, certain instances of violence against women—particularly minor, non-physical, or psychological forms of abuse—are treated under the general category of offenses subject to victim pardon and are therefore eligible for referral to mediation. From the perspective of protecting female victims, this practice raises substantial concerns. In many cases, the victim’s apparent consent is not freely or voluntarily given, but is instead expressed under psychological, economic, or familial coercion (Hedayatnia, 2005, p. 94). Consequently, while Articles 82 and 83 contain restorative potential, the absence of systematic mechanisms for assessing power imbalances may result in mediation practices that compromise, rather than safeguard, the criminal law protection afforded to women subjected to violence.</w:t>
      </w:r>
    </w:p>
    <w:p w14:paraId="1AF17F39" w14:textId="77777777" w:rsidR="00686B05" w:rsidRPr="00686B05" w:rsidRDefault="00686B05" w:rsidP="00686B05">
      <w:pPr>
        <w:spacing w:line="232" w:lineRule="auto"/>
        <w:jc w:val="both"/>
      </w:pPr>
      <w:r w:rsidRPr="00686B05">
        <w:t xml:space="preserve">The Dispute Resolution Councils, as quasi-judicial bodies established to promote reconciliation and compromise, play a prominent role in the practical implementation of mediation in Iran. The underlying rationale of these councils is to </w:t>
      </w:r>
      <w:r w:rsidRPr="00686B05">
        <w:lastRenderedPageBreak/>
        <w:t>reduce judicial antagonism, preserve social relationships, and foster settlement in family disputes (Dispute Resolution Councils Law, 2015). In cases involving family disputes and complaints arising from violence against women, the councils typically adopt a reconciliation-oriented and family-centered approach. Although this approach is ostensibly justified by the goal of strengthening family cohesion, in many instances it results in the neglect of pre-existing power imbalances within the family (Salarifar &amp; Tabik, 2010, p. 105).Empirical studies indicate that, in practice, the councils rarely conduct comprehensive assessments of the risk of repeated violence or the victim’s psychological state, focusing instead on restoring the parties to their prior status, which in many cases constitutes the very context in which the violence occurred. This dynamic renders mediation within the councils a process that, instead of facilitating restoration, may inadvertently reproduce the cycle of domestic violence (Comparative Study of National and International Laws, 2021, no. 8, p. 24).</w:t>
      </w:r>
    </w:p>
    <w:p w14:paraId="3DAA78EF" w14:textId="77777777" w:rsidR="00686B05" w:rsidRPr="00686B05" w:rsidRDefault="00686B05" w:rsidP="00686B05">
      <w:pPr>
        <w:spacing w:line="232" w:lineRule="auto"/>
        <w:jc w:val="both"/>
      </w:pPr>
      <w:r w:rsidRPr="00686B05">
        <w:t>The general policies and executive programs of the Judiciary in recent years—particularly as set forth in the Judicial Reform Documents—reflect the institution’s commitment to expanding peaceful dispute resolution mechanisms and developing restorative justice. Key components of these policies include reducing the penal population, expediting judicial proceedings, and utilizing the capacities of community-based institutions. However, in the area of violence against women, these policies frequently lack a differentiated, gender-sensitive approach. In other words, a uniform judicial policy has been applied to all types of disputes, without consideration for the specific characteristics of violence-based cases. This policy gap has resulted in mediation being used as a low-cost and expedient mechanism, even in cases where the protective rationale of the law and the need for more decisive criminal intervention would warrant otherwise (Nourmohammadi, 2010, p. 79)</w:t>
      </w:r>
    </w:p>
    <w:p w14:paraId="4FEE50C0" w14:textId="77777777" w:rsidR="00686B05" w:rsidRPr="00686B05" w:rsidRDefault="00686B05" w:rsidP="00686B05">
      <w:pPr>
        <w:spacing w:line="232" w:lineRule="auto"/>
        <w:jc w:val="both"/>
      </w:pPr>
      <w:r w:rsidRPr="00686B05">
        <w:t>The Bill on Ensuring the Security of Women Against Violence represents Iran’s most significant legislative effort to address domestic violence against women in a systematic manner. Drawing partially on international instruments while simultaneously emphasizing Islamic-Iranian principles, the bill seeks to provide an integrated approach combining criminal protection, prevention, and non-criminal mechanisms (Comparative Study of National and International Laws, 2021, no. 8, p. 28).Unlike previous legislation, the bill pays explicit attention to the various forms of violence against women and establishes multiple protective measures for victims. Nevertheless, as noted in the accompanying analysis, the bill continues to emphasize preservation of the family unit and the peaceful resolution of disputes, presenting mediation as one of the proposed mechanisms. A comparative analysis of the bill’s provisions against international standards reveals that, although the Iranian legislature has made a progressive step compared to previous laws, it still fails to clearly distinguish between supportive mediation and coercive conciliation. In contrast, international instruments—particularly the Istanbul Convention—explicitly prohibit referring domestic violence cases to mediation without guarantees of the victim’s safety and freely given consent.</w:t>
      </w:r>
    </w:p>
    <w:p w14:paraId="049CAD1F" w14:textId="77777777" w:rsidR="00686B05" w:rsidRPr="00686B05" w:rsidRDefault="00686B05" w:rsidP="00686B05">
      <w:pPr>
        <w:spacing w:line="232" w:lineRule="auto"/>
        <w:jc w:val="both"/>
      </w:pPr>
      <w:r w:rsidRPr="00686B05">
        <w:rPr>
          <w:b/>
          <w:bCs/>
        </w:rPr>
        <w:t>3–2. Advantages of Mediation in the Iranian Legal System</w:t>
      </w:r>
    </w:p>
    <w:p w14:paraId="09AA29CC" w14:textId="77777777" w:rsidR="00686B05" w:rsidRPr="00686B05" w:rsidRDefault="00686B05" w:rsidP="00686B05">
      <w:pPr>
        <w:spacing w:line="232" w:lineRule="auto"/>
        <w:jc w:val="both"/>
      </w:pPr>
      <w:r w:rsidRPr="00686B05">
        <w:t>Mediation, as one of the manifestations of restorative justice, possesses functions within the Iranian legal system that the legislator and judicial policymakers have regarded as desirable, particularly in the field of family disputes and certain instances of violence against women. These advantages are mainly analyzable in terms of judicial efficiency, social management of conflict, and an apparent alignment with cultural and religious values; however, the actual realization of these advantages in practice has consistently been subject to debate and skepticism.</w:t>
      </w:r>
    </w:p>
    <w:p w14:paraId="60123F0A" w14:textId="77777777" w:rsidR="00686B05" w:rsidRPr="00686B05" w:rsidRDefault="00686B05" w:rsidP="00686B05">
      <w:pPr>
        <w:spacing w:line="232" w:lineRule="auto"/>
        <w:jc w:val="both"/>
      </w:pPr>
    </w:p>
    <w:p w14:paraId="37094ADC" w14:textId="77777777" w:rsidR="00686B05" w:rsidRPr="00686B05" w:rsidRDefault="00686B05" w:rsidP="00686B05">
      <w:pPr>
        <w:spacing w:line="232" w:lineRule="auto"/>
        <w:jc w:val="both"/>
      </w:pPr>
      <w:r w:rsidRPr="00686B05">
        <w:rPr>
          <w:b/>
          <w:bCs/>
        </w:rPr>
        <w:t>3–2–1. Reduction of Protracted Proceedings</w:t>
      </w:r>
    </w:p>
    <w:p w14:paraId="7A89A6CC" w14:textId="77777777" w:rsidR="00686B05" w:rsidRPr="00686B05" w:rsidRDefault="00686B05" w:rsidP="00686B05">
      <w:pPr>
        <w:spacing w:line="232" w:lineRule="auto"/>
        <w:jc w:val="both"/>
      </w:pPr>
      <w:r w:rsidRPr="00686B05">
        <w:t>One of the most salient advantages of mediation within the Iranian legal system lies in its capacity to reduce protracted judicial proceedings and alleviate case congestion in the courts. In light of the substantial volume of family-related disputes and minor criminal cases before judicial authorities, mediation operates as a swift and cost-effective mechanism that enables the resolution of disputes without recourse to the lengthy and formal procedures of adjudication. In this regard, the Code of Criminal Procedure, through Articles 82 and 83, explicitly underscores this function by providing for the suspension of judicial proceedings and the referral of cases to mediation (Mousavi, 2014, p. 63). In cases involving violence against women, this characteristic is framed, from a judicial policy perspective, as a means of expediting the resolution of family disputes, particularly where the conduct constitutes pardonable offenses or minor discretionary crimes. From this perspective, mediation is considered capable of preventing the psychological attrition of the parties and mitigating the economic costs associated with prolonged litigation (Comparative Study of National and International Laws, 2021, No. 8, p. 26).</w:t>
      </w:r>
    </w:p>
    <w:p w14:paraId="0DD0C7E3" w14:textId="77777777" w:rsidR="00686B05" w:rsidRPr="00686B05" w:rsidRDefault="00686B05" w:rsidP="00686B05">
      <w:pPr>
        <w:spacing w:line="232" w:lineRule="auto"/>
        <w:jc w:val="both"/>
      </w:pPr>
      <w:r w:rsidRPr="00686B05">
        <w:rPr>
          <w:b/>
          <w:bCs/>
        </w:rPr>
        <w:t>3–2–2. Preservation of Family Privacy</w:t>
      </w:r>
    </w:p>
    <w:p w14:paraId="1D9118F9" w14:textId="77777777" w:rsidR="00686B05" w:rsidRPr="00686B05" w:rsidRDefault="00686B05" w:rsidP="00686B05">
      <w:pPr>
        <w:spacing w:line="232" w:lineRule="auto"/>
        <w:jc w:val="both"/>
      </w:pPr>
      <w:r w:rsidRPr="00686B05">
        <w:t>The preservation of privacy and the prevention of the public disclosure of family disputes constitute another advantage attributed to mediation within the Iranian legal system. Iran’s legal and cultural framework regards the family as an institution endowed with sanctity and inviolability, and the direct and public intrusion of the criminal process into this sphere is often perceived as a destabilizing and harmful factor (Salarifar &amp; Tabik, 2010, p. 102). By conducting the dispute-resolution process in a non-public, non-adversarial setting and outside the formalities of the courtroom, mediation enables the management of conflicts arising from domestic violence without exposing the details of the parties’ private lives. This characteristic is particularly emphasized in a society where the public airing of family matters may entail far-reaching social consequences for women, and is therefore presented as a significant advantage of mediation (Nourmohammadi, 2010, p. 83).</w:t>
      </w:r>
    </w:p>
    <w:p w14:paraId="6277C333" w14:textId="77777777" w:rsidR="00686B05" w:rsidRPr="00686B05" w:rsidRDefault="00686B05" w:rsidP="00686B05">
      <w:pPr>
        <w:spacing w:line="232" w:lineRule="auto"/>
        <w:jc w:val="both"/>
      </w:pPr>
      <w:r w:rsidRPr="00686B05">
        <w:rPr>
          <w:b/>
          <w:bCs/>
        </w:rPr>
        <w:t>3–2–3. Reduction of Criminal Labeling</w:t>
      </w:r>
    </w:p>
    <w:p w14:paraId="278864F4" w14:textId="77777777" w:rsidR="00686B05" w:rsidRPr="00686B05" w:rsidRDefault="00686B05" w:rsidP="00686B05">
      <w:pPr>
        <w:spacing w:line="232" w:lineRule="auto"/>
        <w:jc w:val="both"/>
      </w:pPr>
      <w:r w:rsidRPr="00686B05">
        <w:lastRenderedPageBreak/>
        <w:t>From a criminological perspective, one of the positive effects of mediation is the reduction of criminal labeling of the parties to a dispute, particularly within family relationships. Formal entry into the criminal justice system and the issuance of a conviction can entail long-term social and psychological consequences not only for the offender but also, indirectly, for the victim; consequences that become more extensive and complex within the familial context.By avoiding the issuance of a criminal judgment and instead focusing on agreement, restoration, and reparation, mediation prevents the attachment of the “criminal” label to a family member and facilitates the preservation of family relationships and individuals’ social roles (Salarzadeh, 2010, p. 147). This advantage is especially emphasized by judicial policymakers in cases where violence has occurred sporadically or at a non-acute level.</w:t>
      </w:r>
    </w:p>
    <w:p w14:paraId="3695ADEC" w14:textId="77777777" w:rsidR="00686B05" w:rsidRPr="00686B05" w:rsidRDefault="00686B05" w:rsidP="00686B05">
      <w:pPr>
        <w:spacing w:line="232" w:lineRule="auto"/>
        <w:jc w:val="both"/>
      </w:pPr>
      <w:r w:rsidRPr="00686B05">
        <w:rPr>
          <w:b/>
          <w:bCs/>
        </w:rPr>
        <w:t>3–2–4. Apparent Compatibility with Cultural and Religious Values</w:t>
      </w:r>
    </w:p>
    <w:p w14:paraId="273E02F0" w14:textId="77777777" w:rsidR="00686B05" w:rsidRPr="00686B05" w:rsidRDefault="00686B05" w:rsidP="00686B05">
      <w:pPr>
        <w:spacing w:line="232" w:lineRule="auto"/>
        <w:jc w:val="both"/>
      </w:pPr>
      <w:r w:rsidRPr="00686B05">
        <w:t>Another commonly invoked justification for mediation in the Iranian legal system is its ostensible conformity with the cultural and religious values prevailing in society. Notions such as peace, reconciliation, the restoration of social harmony (islāḥ dhāt al-bayn), and the avoidance of adversarial judicial processes occupy a central place in Islamic ethical teachings and religious texts, and have correspondingly found expression in legislative and judicial policies (Tabatabaei, 2007, p. 216).Within this framework, mediation in cases of domestic violence is portrayed as a mechanism oriented toward the “rehabilitation of relationships” and the “consolidation of the family,” thereby resonating with the dominant family-centered discourse underpinning Iranian law (Motahhari, 1999, p. 92). This discursive congruence has been a key factor in the endorsement and institutional acceptance of mediation by judicial and quasi-judicial bodies in such cases. However, it must be underscored that this compatibility is largely confined to the discursive and symbolic level, and in practice does not invariably correspond with the requirements of victim-centered protective justice or the preservation of the victim’s dignity.</w:t>
      </w:r>
    </w:p>
    <w:p w14:paraId="1103809D" w14:textId="77777777" w:rsidR="00686B05" w:rsidRPr="00686B05" w:rsidRDefault="00686B05" w:rsidP="00686B05">
      <w:pPr>
        <w:spacing w:line="232" w:lineRule="auto"/>
        <w:jc w:val="both"/>
      </w:pPr>
      <w:r w:rsidRPr="00686B05">
        <w:rPr>
          <w:b/>
          <w:bCs/>
        </w:rPr>
        <w:t>3–3. Risks and Challenges</w:t>
      </w:r>
    </w:p>
    <w:p w14:paraId="4E69CF31" w14:textId="77777777" w:rsidR="00686B05" w:rsidRPr="00686B05" w:rsidRDefault="00686B05" w:rsidP="00686B05">
      <w:pPr>
        <w:spacing w:line="232" w:lineRule="auto"/>
        <w:jc w:val="both"/>
      </w:pPr>
      <w:r w:rsidRPr="00686B05">
        <w:t>Despite the advantages attributed to mediation within the Iranian legal system, its application in cases of violence against women faces fundamental risks and challenges—risks that are rooted not merely in implementation but at the theoretical and structural levels. The nature of domestic violence, characterized by domination, repetition, and power imbalance, renders mediation—premised on the assumptions of “equality of the parties” and “voluntary consent”—often incompatible with the social realities of these cases (Comparative Study of National and International Laws, 2021, No. 8, p. 31).Within Iranian law, the absence of a differentiated approach to gender-based violence and the predominance of a family-centered perspective have led mediation to function not as a protective instrument, but frequently as a tool for conflict management and the maintenance of the status quo. In practice, this may exacerbate the vulnerability of women subjected to violence, undermine the protective role of the criminal justice system, and even contribute to the reproduction of the cycle of violence. The following sections examine the most significant of these risks in detail.</w:t>
      </w:r>
    </w:p>
    <w:p w14:paraId="4C3E6191" w14:textId="77777777" w:rsidR="00686B05" w:rsidRPr="00686B05" w:rsidRDefault="00686B05" w:rsidP="00686B05">
      <w:pPr>
        <w:spacing w:line="232" w:lineRule="auto"/>
        <w:jc w:val="both"/>
      </w:pPr>
      <w:r w:rsidRPr="00686B05">
        <w:rPr>
          <w:b/>
          <w:bCs/>
        </w:rPr>
        <w:t>3–3–1. Power Imbalance Between Women and Men</w:t>
      </w:r>
    </w:p>
    <w:p w14:paraId="1031DE8E" w14:textId="77777777" w:rsidR="00686B05" w:rsidRPr="00686B05" w:rsidRDefault="00686B05" w:rsidP="00686B05">
      <w:pPr>
        <w:spacing w:line="232" w:lineRule="auto"/>
        <w:jc w:val="both"/>
      </w:pPr>
      <w:r w:rsidRPr="00686B05">
        <w:t>The primary and most fundamental challenge confronting mediation in cases of violence against women lies in the structural power asymmetry between women and men within familial relationships. Mediation operates on the presuppositions of autonomy, relative parity, and the capacity of the parties to negotiate; yet, in abusive contexts, women are frequently situated in a subordinate position—economically, emotionally, socially, and even legally (Noormohammadi, 2010, p. 87).Such asymmetry renders a woman’s consent to initiate or continue mediation potentially unreliable as an expression of genuine volition, often reflecting fear, economic dependence, concern for her children’s welfare, or external coercive pressures. In these circumstances, rather than serving as a tool for victim empowerment, mediation may inadvertently operate as a mechanism that consolidates the perpetrator’s control and reinforces existing patterns of domination (Salarifar &amp; Tabik, 2010, p. 109).</w:t>
      </w:r>
    </w:p>
    <w:p w14:paraId="6433B01F" w14:textId="77777777" w:rsidR="00686B05" w:rsidRPr="00686B05" w:rsidRDefault="00686B05" w:rsidP="00686B05">
      <w:pPr>
        <w:spacing w:line="232" w:lineRule="auto"/>
        <w:jc w:val="both"/>
      </w:pPr>
    </w:p>
    <w:p w14:paraId="2DF87A7E" w14:textId="77777777" w:rsidR="00686B05" w:rsidRPr="00686B05" w:rsidRDefault="00686B05" w:rsidP="00686B05">
      <w:pPr>
        <w:spacing w:line="232" w:lineRule="auto"/>
        <w:jc w:val="both"/>
      </w:pPr>
      <w:r w:rsidRPr="00686B05">
        <w:rPr>
          <w:b/>
          <w:bCs/>
        </w:rPr>
        <w:t>3–3–2. Familial and Customary Pressures</w:t>
      </w:r>
    </w:p>
    <w:p w14:paraId="307FF676" w14:textId="77777777" w:rsidR="00686B05" w:rsidRPr="00686B05" w:rsidRDefault="00686B05" w:rsidP="00686B05">
      <w:pPr>
        <w:spacing w:line="232" w:lineRule="auto"/>
        <w:jc w:val="both"/>
      </w:pPr>
      <w:r w:rsidRPr="00686B05">
        <w:t>The second significant challenge arises from the familial, social, and customary pressures imposed on women who have experienced violence to accept reconciliation and relinquish their claims. Within Iran’s legal and socio-cultural framework, the filing of a criminal complaint against one’s spouse is frequently construed as an affront to family honor and entrenched traditional values. Consequently, the woman—positioned as the structurally more vulnerable party—becomes the primary subject of overt and implicit pressures to desist from pursuing formal legal action (Dehkhoda, 1998, s.v. “violence”). Such pressures, which may emanate from the woman’s own family, the husband’s family, community elders, or even quasi-judicial institutions, risk transforming mediation from a genuinely voluntary and participatory process into an effectively coerced settlement. Under these conditions, the core aims of mediation—namely, the protection and empowerment of the victim and the prevention of the recurrence of violence—are eclipsed by an overriding concern with maintaining the outward semblance of familial peace and social conformity (Hedayatnia, 2005, p. 96).</w:t>
      </w:r>
    </w:p>
    <w:p w14:paraId="381ED9AB" w14:textId="77777777" w:rsidR="00686B05" w:rsidRPr="00686B05" w:rsidRDefault="00686B05" w:rsidP="00686B05">
      <w:pPr>
        <w:spacing w:line="232" w:lineRule="auto"/>
        <w:jc w:val="both"/>
      </w:pPr>
      <w:r w:rsidRPr="00686B05">
        <w:rPr>
          <w:b/>
          <w:bCs/>
        </w:rPr>
        <w:t>3–3–3. Risk of Recurrence of Violence</w:t>
      </w:r>
    </w:p>
    <w:p w14:paraId="129155EE" w14:textId="77777777" w:rsidR="00686B05" w:rsidRPr="00686B05" w:rsidRDefault="00686B05" w:rsidP="00686B05">
      <w:pPr>
        <w:spacing w:line="232" w:lineRule="auto"/>
        <w:jc w:val="both"/>
      </w:pPr>
      <w:r w:rsidRPr="00686B05">
        <w:t xml:space="preserve">Another serious risk associated with mediation in such cases is the high likelihood of the recurrence and even escalation of violence following a conciliatory process. Domestic violence is rarely an isolated or incidental act; rather, it typically follows a cyclical pattern in which episodes of abuse are succeeded by remorse, promises of reform, and a return to cohabitation. Mediation, particularly when conducted in the absence of risk assessment mechanisms, post-mediation monitoring, and effective protective measures, may reinforce this cycle. In such circumstances, the perpetrator, having avoided meaningful criminal accountability, may readily revert to prior abusive behavior, while </w:t>
      </w:r>
      <w:r w:rsidRPr="00686B05">
        <w:lastRenderedPageBreak/>
        <w:t>the woman subjected to violence, deprived of institutional support, finds herself in an even more vulnerable position (Comparative Study of National and International Laws, 2021, No. 8, p. 35). Accordingly, improperly applied mediation not only fails to bring violence to an end but may also render it concealed and chronic.</w:t>
      </w:r>
    </w:p>
    <w:p w14:paraId="6C9A5902" w14:textId="77777777" w:rsidR="00686B05" w:rsidRPr="00686B05" w:rsidRDefault="00686B05" w:rsidP="00686B05">
      <w:pPr>
        <w:spacing w:line="232" w:lineRule="auto"/>
        <w:jc w:val="both"/>
      </w:pPr>
      <w:r w:rsidRPr="00686B05">
        <w:rPr>
          <w:b/>
          <w:bCs/>
        </w:rPr>
        <w:t>3–3–4. Lack of Mediator Expertise in Gender-Based Violence</w:t>
      </w:r>
    </w:p>
    <w:p w14:paraId="7855A1DA" w14:textId="77777777" w:rsidR="00686B05" w:rsidRPr="00686B05" w:rsidRDefault="00686B05" w:rsidP="00686B05">
      <w:pPr>
        <w:spacing w:line="232" w:lineRule="auto"/>
        <w:jc w:val="both"/>
      </w:pPr>
      <w:r w:rsidRPr="00686B05">
        <w:t>Another significant challenge is the lack of specialized expertise and adequate training of mediators in the field of gender-based violence. Within the Iranian legal system, mediators—particularly those operating within Dispute Resolution Councils—generally have not received specialized training on the dynamics of domestic violence, power imbalances, the psychological impacts of abuse, or victim-centered protection principles. This deficiency in expertise often prevents mediators from distinguishing between an “ordinary family dispute” and violence rooted in patterns of domination and control. As a result, mediators may inadvertently advance recommendations favoring reconciliation and endurance—recommendations that, while seemingly grounded in moral or religious discourse, in practice undermine women’s dignity and personal security (Salarzadeh, 2010, p. 152). The absence of specialized guidelines and clear criteria for assessing mediator competence further exacerbates this problem.</w:t>
      </w:r>
    </w:p>
    <w:p w14:paraId="082F196A" w14:textId="77777777" w:rsidR="00686B05" w:rsidRPr="00686B05" w:rsidRDefault="00686B05" w:rsidP="00686B05">
      <w:pPr>
        <w:spacing w:line="232" w:lineRule="auto"/>
        <w:jc w:val="both"/>
      </w:pPr>
    </w:p>
    <w:p w14:paraId="11EEBCAB" w14:textId="77777777" w:rsidR="00686B05" w:rsidRPr="00686B05" w:rsidRDefault="00686B05" w:rsidP="00686B05">
      <w:pPr>
        <w:spacing w:line="232" w:lineRule="auto"/>
        <w:jc w:val="both"/>
      </w:pPr>
      <w:r w:rsidRPr="00686B05">
        <w:rPr>
          <w:b/>
          <w:bCs/>
        </w:rPr>
        <w:t>4. Mediation in Cases of Violence Against Women under English Law</w:t>
      </w:r>
    </w:p>
    <w:p w14:paraId="0EC8B8B3" w14:textId="77777777" w:rsidR="00686B05" w:rsidRPr="00686B05" w:rsidRDefault="00686B05" w:rsidP="00686B05">
      <w:pPr>
        <w:spacing w:line="232" w:lineRule="auto"/>
        <w:jc w:val="both"/>
      </w:pPr>
      <w:r w:rsidRPr="00686B05">
        <w:t>The English legal system, by recognizing domestic violence as a structural phenomenon rooted in power inequality, has adopted a cautious and victim-centered approach to mediation. In this system, unlike traditional family-centered approaches, mediation is not regarded as the default solution to family conflicts, but is accepted only as a limited and exceptional mechanism, subject to strict conditions and contingent upon ensuring the safety of the victim.The English legislator maintains that the uncritical or indiscriminate application of mediation in abusive relationships may lead to the reproduction of dominance, the perpetuation of violence, and the weakening of the victim’s position (Hester, 2011).</w:t>
      </w:r>
    </w:p>
    <w:p w14:paraId="456276EE" w14:textId="77777777" w:rsidR="00686B05" w:rsidRPr="00686B05" w:rsidRDefault="00686B05" w:rsidP="00686B05">
      <w:pPr>
        <w:spacing w:line="232" w:lineRule="auto"/>
        <w:jc w:val="both"/>
      </w:pPr>
      <w:r w:rsidRPr="00686B05">
        <w:rPr>
          <w:b/>
          <w:bCs/>
        </w:rPr>
        <w:t>4–1. Legal Framework</w:t>
      </w:r>
    </w:p>
    <w:p w14:paraId="6D79625F" w14:textId="77777777" w:rsidR="00686B05" w:rsidRPr="00686B05" w:rsidRDefault="00686B05" w:rsidP="00686B05">
      <w:pPr>
        <w:spacing w:line="232" w:lineRule="auto"/>
        <w:jc w:val="both"/>
      </w:pPr>
      <w:r w:rsidRPr="00686B05">
        <w:t>The enactment of the Domestic Abuse Act 2021 constitutes a watershed in the regulation of England’s legal response to domestic violence. By adopting a broad and inclusive definition, the Act extends the concept of domestic abuse beyond physical harm to encompass psychological abuse, coercive and controlling behavior, economic abuse, and indirect or implicit threats (Domestic Abuse Act 2021, s. 1). Within this framework, the overriding priority of the justice system is the safeguarding of the victim’s physical and psychological integrity, and any mechanism for dispute resolution, including mediation, is explicitly subordinated to this foundational principle (Home Office, 2021, p. 18).Accordingly, the Family Mediation Standards issued by the Family Mediation Council of England require mediators to undertake a preliminary screening for domestic abuse and to assess the level of risk inherent in the relationship prior to initiating any mediation process. Where a history of abuse is identified, particularly in cases involving persistent or controlling patterns of behavior, mediation is either categorically excluded or permitted only under exceptionally restrictive conditions and subject to stringent protective safeguards (Family Mediation Council, 2023, pp. 4–6). These standards further underscore the necessity of specialized training for mediators in the dynamics of gender-based violence and power asymmetries (FMC, 2023, p. 5).From the perspective of judicial policy, English law seeks to prevent the coercive imposition of reconciliation upon victims by prohibiting compulsory mediation in cases involving domestic abuse. Even the preliminary obligation to attend a Mediation Information and Assessment Meeting (MIAM) is subject to a statutory exemption where there are reasonable grounds to believe that domestic violence has occurred (Legal Aid Agency, 2022, para. 5.7). This approach rests on the recognition that consent expressed under conditions of fear, dependency, or implicit threat cannot be regarded as genuinely free or informed (Herring, 2021, p. 233).A central pillar of this legal framework is the systematic assessment of violence-related risk. Judicial and support institutions in England rely on standardized instruments such as the DASH Risk Checklist to evaluate the severity of abuse, the likelihood of its recurrence, and the degree of danger faced by the victim. The results of such assessments play a decisive role in determining whether mediation should be prohibited or, in narrowly defined circumstances, cautiously permitted (Home Office, 2020; Robinson, 2006). Where severe abuse, threats to life, or an entrenched pattern of coercive conduct is established, the presumption operates firmly against the use of mediation (Cafcass, 2021, p. 12). Overall assessments of the English legal system reveal a distinctly precautionary and victim-centered approach to mediation in cases of violence against women. The principal objective is not the preservation of the relationship or the restoration of cohabitation, but rather the prevention of re-victimization and the provision of effective and sustained protection for the victim (Hoyle &amp; Sanders, 2000). In this context, social support mechanisms, judicial protective orders, psychological counseling, and social work interventions assume a more central and determinative role than conciliatory processes (Home Office, 2023, p. 23).Ultimately, the English experience demonstrates that restorative justice and mediation can be regarded as legitimate and effective responses to domestic violence only when embedded within a rigorous, specialized framework grounded in a realistic assessment of power relations and genuine substantive equality between the parties. The restriction of mediation within this system does not signify its rejection; rather, it reflects a conscious and principled effort to prevent reconciliation from functioning as a vehicle for the perpetuation of violence and gender-based inequality.</w:t>
      </w:r>
    </w:p>
    <w:p w14:paraId="64BFD583" w14:textId="77777777" w:rsidR="00686B05" w:rsidRPr="00686B05" w:rsidRDefault="00686B05" w:rsidP="00686B05">
      <w:pPr>
        <w:spacing w:line="232" w:lineRule="auto"/>
        <w:jc w:val="both"/>
      </w:pPr>
      <w:r w:rsidRPr="00686B05">
        <w:rPr>
          <w:b/>
          <w:bCs/>
        </w:rPr>
        <w:t>5. Comparative Analysis</w:t>
      </w:r>
    </w:p>
    <w:p w14:paraId="2E6EFE4C" w14:textId="77777777" w:rsidR="00686B05" w:rsidRPr="00686B05" w:rsidRDefault="00686B05" w:rsidP="00686B05">
      <w:pPr>
        <w:spacing w:line="232" w:lineRule="auto"/>
        <w:jc w:val="both"/>
      </w:pPr>
      <w:r w:rsidRPr="00686B05">
        <w:t xml:space="preserve">A comparative analysis of mediation in cases of violence against women requires simultaneous attention to the declared objectives of legal systems and the practical consequences of their implementation. Although both Iranian and English law, at least at the theoretical level, endorse non-judicial mechanisms for dispute resolution, differences </w:t>
      </w:r>
      <w:r w:rsidRPr="00686B05">
        <w:lastRenderedPageBreak/>
        <w:t>in underlying value frameworks, approaches to gender-based violence, and the status accorded to the victim have given rise to divergent—and at times opposing—practices in reality. Accordingly, examining the points of convergence and divergence between these two legal systems provides a basis for assessing the actual effectiveness of mediation in addressing violence against women.</w:t>
      </w:r>
    </w:p>
    <w:p w14:paraId="731E7F2D" w14:textId="77777777" w:rsidR="00686B05" w:rsidRPr="00686B05" w:rsidRDefault="00686B05" w:rsidP="00686B05">
      <w:pPr>
        <w:spacing w:line="232" w:lineRule="auto"/>
        <w:jc w:val="both"/>
      </w:pPr>
      <w:r w:rsidRPr="00686B05">
        <w:rPr>
          <w:b/>
          <w:bCs/>
        </w:rPr>
        <w:t>5–1. Points of Convergence</w:t>
      </w:r>
    </w:p>
    <w:p w14:paraId="7401CBD1" w14:textId="77777777" w:rsidR="00686B05" w:rsidRPr="00686B05" w:rsidRDefault="00686B05" w:rsidP="00686B05">
      <w:pPr>
        <w:spacing w:line="232" w:lineRule="auto"/>
        <w:jc w:val="both"/>
      </w:pPr>
      <w:r w:rsidRPr="00686B05">
        <w:rPr>
          <w:b/>
          <w:bCs/>
        </w:rPr>
        <w:t>5–1–1. Emphasis on Reducing Case Inflow</w:t>
      </w:r>
    </w:p>
    <w:p w14:paraId="03F5157A" w14:textId="77777777" w:rsidR="00686B05" w:rsidRPr="00686B05" w:rsidRDefault="00686B05" w:rsidP="00686B05">
      <w:pPr>
        <w:spacing w:line="232" w:lineRule="auto"/>
        <w:jc w:val="both"/>
      </w:pPr>
      <w:r w:rsidRPr="00686B05">
        <w:t>One point of convergence between Iranian and English law lies in the attention paid by judicial policymakers to reducing case congestion and alleviating the burden on the judiciary through the use of alternatives to criminal adjudication. In both systems, mediation has been considered a mechanism for shortening the length of proceedings, expediting dispute resolution, and conserving judicial resources (Mirjafari et al., 2021, p. 29; Hoyle &amp; Sanders, 2000). In Iranian law, this objective is particularly reflected in the macro-level policies of the judiciary and the strengthening of institutions such as the Dispute Resolution Councils, to the extent that amicable settlement of disputes is encouraged even in certain sensitive family-related cases (Nourmohammadi, 2010, p. 85). In England, mediation has likewise been presented as one of the means of relieving pressure on family and criminal courts; however, this objective remains clearly subordinated to protective considerations and victim-safeguarding imperatives (FMC, 2023, p. 3).</w:t>
      </w:r>
    </w:p>
    <w:p w14:paraId="6C45A93B" w14:textId="77777777" w:rsidR="00686B05" w:rsidRPr="00686B05" w:rsidRDefault="00686B05" w:rsidP="00686B05">
      <w:pPr>
        <w:spacing w:line="232" w:lineRule="auto"/>
        <w:jc w:val="both"/>
      </w:pPr>
      <w:r w:rsidRPr="00686B05">
        <w:rPr>
          <w:b/>
          <w:bCs/>
        </w:rPr>
        <w:t>5–1–2. Reliance on Non-Judicial Mechanisms</w:t>
      </w:r>
    </w:p>
    <w:p w14:paraId="477A3A50" w14:textId="77777777" w:rsidR="00686B05" w:rsidRPr="00686B05" w:rsidRDefault="00686B05" w:rsidP="00686B05">
      <w:pPr>
        <w:spacing w:line="232" w:lineRule="auto"/>
        <w:jc w:val="both"/>
      </w:pPr>
      <w:r w:rsidRPr="00686B05">
        <w:t>Another point of convergence is the acceptance of the principle of employing non-judicial mechanisms alongside formal adjudication. Both legal systems regard mediation as an element of restorative and participatory justice policy and consider it a means of enhancing the active involvement of the parties in the resolution of disputes (Walklate, 2004, p. 88).</w:t>
      </w:r>
    </w:p>
    <w:p w14:paraId="371BEEE6" w14:textId="77777777" w:rsidR="00686B05" w:rsidRPr="00686B05" w:rsidRDefault="00686B05" w:rsidP="00686B05">
      <w:pPr>
        <w:spacing w:line="232" w:lineRule="auto"/>
        <w:jc w:val="both"/>
      </w:pPr>
      <w:r w:rsidRPr="00686B05">
        <w:t>In Iranian law, this approach has been aligned with cultural and religious teachings and is at times justified as a mechanism for the restoration of social harmony (islāḥ dhāt al-bayn) and the preservation of family cohesion (Salaravi &amp; Tibik, 2010, p. 102). In England, an emphasis on dialogue and consensual resolution is likewise accepted, albeit with caution, as a complementary tool within the criminal and family justice systems (Herring, 2021, p. 229).</w:t>
      </w:r>
    </w:p>
    <w:p w14:paraId="45A8AD3E" w14:textId="77777777" w:rsidR="00686B05" w:rsidRPr="00686B05" w:rsidRDefault="00686B05" w:rsidP="00686B05">
      <w:pPr>
        <w:spacing w:line="232" w:lineRule="auto"/>
        <w:jc w:val="both"/>
      </w:pPr>
      <w:r w:rsidRPr="00686B05">
        <w:rPr>
          <w:b/>
          <w:bCs/>
        </w:rPr>
        <w:t>5–2. Points of Divergence</w:t>
      </w:r>
    </w:p>
    <w:p w14:paraId="730B0C7F" w14:textId="77777777" w:rsidR="00686B05" w:rsidRPr="00686B05" w:rsidRDefault="00686B05" w:rsidP="00686B05">
      <w:pPr>
        <w:spacing w:line="232" w:lineRule="auto"/>
        <w:jc w:val="both"/>
      </w:pPr>
      <w:r w:rsidRPr="00686B05">
        <w:rPr>
          <w:b/>
          <w:bCs/>
        </w:rPr>
        <w:t>5–2–1. Primacy of Victim Protection in England</w:t>
      </w:r>
    </w:p>
    <w:p w14:paraId="09EB5056" w14:textId="77777777" w:rsidR="00686B05" w:rsidRPr="00686B05" w:rsidRDefault="00686B05" w:rsidP="00686B05">
      <w:pPr>
        <w:spacing w:line="232" w:lineRule="auto"/>
        <w:jc w:val="both"/>
      </w:pPr>
      <w:r w:rsidRPr="00686B05">
        <w:t>The most significant point of divergence lies in the prioritization of the protection of women subjected to violence within the English legal system. In this system, the safety and dignity of the victim are regarded as inviolable red lines, and any mediation process is conditional upon the absence of threat and the minimization of risk for recurrence of abuse (Domestic Abuse Act 2021, s. 1). In contrast to a reconciliation-centered approach, English policymakers have explicitly stated that mediation should never be pursued in cases of domestic violence if doing so would compromise the woman’s safety (Home Office, 2021, p. 18). This perspective stems from the recognition of domestic violence as a structural phenomenon rooted in patterns of domination, rather than as a simple marital dispute (Hester, 2011).</w:t>
      </w:r>
    </w:p>
    <w:p w14:paraId="2375B1CF" w14:textId="77777777" w:rsidR="00686B05" w:rsidRPr="00686B05" w:rsidRDefault="00686B05" w:rsidP="00686B05">
      <w:pPr>
        <w:spacing w:line="232" w:lineRule="auto"/>
        <w:jc w:val="both"/>
      </w:pPr>
      <w:r w:rsidRPr="00686B05">
        <w:rPr>
          <w:b/>
          <w:bCs/>
        </w:rPr>
        <w:t>5–2–2. Predominance of Family Interests in Iran</w:t>
      </w:r>
    </w:p>
    <w:p w14:paraId="75331F5F" w14:textId="77777777" w:rsidR="00686B05" w:rsidRPr="00686B05" w:rsidRDefault="00686B05" w:rsidP="00686B05">
      <w:pPr>
        <w:spacing w:line="232" w:lineRule="auto"/>
        <w:jc w:val="both"/>
      </w:pPr>
      <w:r w:rsidRPr="00686B05">
        <w:t>In contrast, the prevailing approach in Iranian law emphasizes the preservation of the family institution and the prevention of its dissolution. While this perspective is rooted in cultural and religious values, in practice it often prioritizes family interests over the individual protection of women subjected to violence (Khamenei, 2016; Salarzadeh, 2010, p. 152).</w:t>
      </w:r>
    </w:p>
    <w:p w14:paraId="45478329" w14:textId="77777777" w:rsidR="00686B05" w:rsidRPr="00686B05" w:rsidRDefault="00686B05" w:rsidP="00686B05">
      <w:pPr>
        <w:spacing w:line="232" w:lineRule="auto"/>
        <w:jc w:val="both"/>
      </w:pPr>
      <w:r w:rsidRPr="00686B05">
        <w:t>Within this framework, mediation is frequently pursued with the objective of forgiveness, reconciliation, and the restoration of marital cohabitation, without necessarily conducting a specialized assessment of the nature of the abuse or the risk of its recurrence (Nourmohammadi, 2010, p. 90). This approach is particularly problematic in cases where violence is chronic, covert, or characterized by subtle patterns of control, as it may leave the victim exposed to continued harm.</w:t>
      </w:r>
    </w:p>
    <w:p w14:paraId="637F9B47" w14:textId="77777777" w:rsidR="00686B05" w:rsidRPr="00686B05" w:rsidRDefault="00686B05" w:rsidP="00686B05">
      <w:pPr>
        <w:spacing w:line="232" w:lineRule="auto"/>
        <w:jc w:val="both"/>
      </w:pPr>
      <w:r w:rsidRPr="00686B05">
        <w:rPr>
          <w:b/>
          <w:bCs/>
        </w:rPr>
        <w:t>5–2–3. Divergent Approaches to Consent under Unequal Power</w:t>
      </w:r>
    </w:p>
    <w:p w14:paraId="3174D566" w14:textId="77777777" w:rsidR="00686B05" w:rsidRPr="00686B05" w:rsidRDefault="00686B05" w:rsidP="00686B05">
      <w:pPr>
        <w:spacing w:line="232" w:lineRule="auto"/>
        <w:jc w:val="both"/>
      </w:pPr>
      <w:r w:rsidRPr="00686B05">
        <w:t>Another fundamental divergence lies in the understanding of “consent”. Under English law, a victim’s consent is considered valid only when given under conditions of equality, free from fear, coercion, or economic dependency; otherwise, the voluntariness of participation is deemed compromised (Herring, 2021, p. 233; FMC, 2023, p. 6).In contrast, Iranian law often recognizes a woman’s consent to reconciliation or entry into mediation largely in formal or procedural terms, with limited consideration of underlying power imbalances, financial dependence, or familial pressures (Mirjafari et al., 2021, p. 33). This difference in approach has direct implications for the degree of justice-centeredness and the protective quality of the mediation process.</w:t>
      </w:r>
    </w:p>
    <w:p w14:paraId="6A2B8564" w14:textId="77777777" w:rsidR="00686B05" w:rsidRPr="00686B05" w:rsidRDefault="00686B05" w:rsidP="00686B05">
      <w:pPr>
        <w:spacing w:line="232" w:lineRule="auto"/>
        <w:jc w:val="both"/>
      </w:pPr>
      <w:r w:rsidRPr="00686B05">
        <w:rPr>
          <w:b/>
          <w:bCs/>
        </w:rPr>
        <w:t>5–3. Final Assessment of Effectiveness</w:t>
      </w:r>
    </w:p>
    <w:p w14:paraId="22A93747" w14:textId="77777777" w:rsidR="00686B05" w:rsidRPr="00686B05" w:rsidRDefault="00686B05" w:rsidP="00686B05">
      <w:pPr>
        <w:spacing w:line="232" w:lineRule="auto"/>
        <w:jc w:val="both"/>
      </w:pPr>
      <w:r w:rsidRPr="00686B05">
        <w:rPr>
          <w:b/>
          <w:bCs/>
        </w:rPr>
        <w:t>5–3–1. Mediation in Iran</w:t>
      </w:r>
    </w:p>
    <w:p w14:paraId="50BA727D" w14:textId="77777777" w:rsidR="00686B05" w:rsidRPr="00686B05" w:rsidRDefault="00686B05" w:rsidP="00686B05">
      <w:pPr>
        <w:spacing w:line="232" w:lineRule="auto"/>
        <w:jc w:val="both"/>
      </w:pPr>
      <w:r w:rsidRPr="00686B05">
        <w:t xml:space="preserve">A comprehensive review of the preceding analysis suggests that mediation in cases of violence against women within the Iranian legal system remains a high-risk, insufficiently regulated, and structurally vulnerable process. The absence of systematic risk assessment mechanisms, the scarcity of mediators with specialized expertise in gender-based violence, and the overarching emphasis on reconciliation collectively render the process prone to unintended harms. Under these conditions, mediation does not inherently mitigate violence; rather, in many instances, it may inadvertently perpetuate cycles of abuse and reinforce existing patterns of patriarchal control (Nourmohammadi, 2010, p. 95).This assessment underscores that the effectiveness of mediation in Iran cannot be assumed without a profound re-evaluation of its theoretical foundations, procedural safeguards, and protective mechanisms. Without such reforms, </w:t>
      </w:r>
      <w:r w:rsidRPr="00686B05">
        <w:lastRenderedPageBreak/>
        <w:t>the process risks serving not as a tool of justice or empowerment, but as a mechanism that legitimizes structural inequalities and exposes victims to renewed harm.</w:t>
      </w:r>
    </w:p>
    <w:p w14:paraId="1BC6FB21" w14:textId="77777777" w:rsidR="00686B05" w:rsidRPr="00686B05" w:rsidRDefault="00686B05" w:rsidP="00686B05">
      <w:pPr>
        <w:spacing w:line="232" w:lineRule="auto"/>
        <w:jc w:val="both"/>
      </w:pPr>
      <w:r w:rsidRPr="00686B05">
        <w:rPr>
          <w:b/>
          <w:bCs/>
        </w:rPr>
        <w:t>5–3–2. Mediation in England</w:t>
      </w:r>
    </w:p>
    <w:p w14:paraId="3B9CF309" w14:textId="77777777" w:rsidR="00686B05" w:rsidRPr="00686B05" w:rsidRDefault="00686B05" w:rsidP="00686B05">
      <w:pPr>
        <w:spacing w:line="232" w:lineRule="auto"/>
        <w:jc w:val="both"/>
      </w:pPr>
      <w:r w:rsidRPr="00686B05">
        <w:t xml:space="preserve">In contrast, the English experience demonstrates a limited, conditional, and closely supervised model of mediation. Mediation is applied only in specific cases, following a specialized risk assessment, and is always complemented by supportive services, with continuous oversight by protective and judicial authorities (Cafcass, 2021, p. 12; Home Office, 2023, p. 23).Although this approach inherently restricts the scope of mediation, it minimizes the risk of re-victimization and aligns more closely with the realities of power-imbalanced abusive relationships (Walklate, 2004, p. 93). From this perspective, the effectiveness of mediation in England is not measured by its quantitative reach, but by its deliberate, controlled, and victim-centered application, ensuring both </w:t>
      </w:r>
    </w:p>
    <w:p w14:paraId="0F247624" w14:textId="77777777" w:rsidR="00686B05" w:rsidRPr="00686B05" w:rsidRDefault="00686B05" w:rsidP="00686B05">
      <w:pPr>
        <w:spacing w:line="232" w:lineRule="auto"/>
        <w:jc w:val="both"/>
      </w:pPr>
      <w:r w:rsidRPr="00686B05">
        <w:rPr>
          <w:b/>
          <w:bCs/>
        </w:rPr>
        <w:t>Conclusion</w:t>
      </w:r>
    </w:p>
    <w:p w14:paraId="04D4FCB4" w14:textId="77777777" w:rsidR="00686B05" w:rsidRPr="00686B05" w:rsidRDefault="00686B05" w:rsidP="00686B05">
      <w:pPr>
        <w:spacing w:line="232" w:lineRule="auto"/>
        <w:jc w:val="both"/>
      </w:pPr>
      <w:r w:rsidRPr="00686B05">
        <w:t>This study, aimed at evaluating the effectiveness of mediation in cases of violence against women, sought—through an analytical–critical and comparative approach—to examine the capacities and challenges of this mechanism within the legal systems of Iran and England. The findings indicate that mediation in cases of gender-based violence, unlike ordinary disputes, involves particular sensitivity, and failure to consider the structural nature of violence and the power imbalance between the parties can transform this mechanism from a restorative tool into a means of reproducing violence. The theoretical basis of the study demonstrates that violence against women is not merely an isolated behavior or the result of individual conflict, but a multi-layered phenomenon rooted in legal, cultural, and economic structures. Accordingly, any use of mediation without recognizing the contexts of domination, dependency, and psychological pressure—especially within family relationships—lacks real effectiveness. Mediation can only be meaningful within restorative justice when it is based on relative equality of power, genuine consent, and the assurance of the victim’s safety.</w:t>
      </w:r>
    </w:p>
    <w:p w14:paraId="79EF2CA6" w14:textId="77777777" w:rsidR="00686B05" w:rsidRPr="00686B05" w:rsidRDefault="00686B05" w:rsidP="00686B05">
      <w:pPr>
        <w:spacing w:line="232" w:lineRule="auto"/>
        <w:jc w:val="both"/>
      </w:pPr>
      <w:r w:rsidRPr="00686B05">
        <w:t>The analysis of Iranian law demonstrates that the prevailing approach to domestic violence is reconciliation-centered and focused on preserving the family institution. While this perspective may be understandable from a cultural and jurisprudential standpoint, in practice it prioritizes the interests of the family over the individual protection of women subjected to violence, rendering mediation a high-risk and insufficiently supervised process. The absence of a systematic risk assessment framework, the lack of mediators specialized in gender-based violence, and a largely formalistic understanding of consent are identified as the main factors undermining the effectiveness of mediation in Iran.In contrast, the examination of English law shows that the system, by recognizing domestic violence as a structural phenomenon that threatens individual safety, has adopted a cautious and victim-centered approach. Within this framework, mediation is not treated as a default solution but as a limited mechanism, contingent upon thorough risk assessment, genuine voluntary participation, and institutional oversight. Although this approach restricts the scope of mediation, it minimizes the risk of re-victimization and aligns more closely with the realities of power-imbalanced abusive relationships.</w:t>
      </w:r>
    </w:p>
    <w:p w14:paraId="6790E366" w14:textId="77777777" w:rsidR="00686B05" w:rsidRPr="00686B05" w:rsidRDefault="00686B05" w:rsidP="00686B05">
      <w:pPr>
        <w:spacing w:line="232" w:lineRule="auto"/>
        <w:jc w:val="both"/>
      </w:pPr>
      <w:r w:rsidRPr="00686B05">
        <w:t>A comparative analysis of the two legal systems indicates that, although both theoretically embrace non-judicial mechanisms and aim to reduce case inflow, their practical outcomes diverge due to differences in priorities. In England, where the protection of women and individual safety is paramount, mediation has become a controlled and purpose-driven tool. In contrast, in Iran, the prioritization of family interests and the absence of effective protective mechanisms expose mediation to significant challenges and risks. In conclusion, the effectiveness of mediation in cases of violence against women lies not in its quantitative expansion, but in its deliberate regulation, targeted limitation, and conditioning upon protective safeguards. The English experience demonstrates that avoiding uncontrolled mediation does not weaken restorative justice; rather, it is essential for its genuine realization. Accordingly, a reconsideration of legislative and judicial policies in Iran—emphasizing the safety of women subjected to violence, specialized expertise, and effective supervision—is an indispensable requirement for achieving justice and preventing the reproduction of abuse.</w:t>
      </w:r>
    </w:p>
    <w:p w14:paraId="7525EF19" w14:textId="77777777" w:rsidR="00686B05" w:rsidRDefault="00686B05" w:rsidP="00686B05">
      <w:pPr>
        <w:spacing w:line="232" w:lineRule="auto"/>
        <w:jc w:val="both"/>
      </w:pPr>
    </w:p>
    <w:p w14:paraId="3F500ED7" w14:textId="77777777" w:rsidR="00686B05" w:rsidRDefault="00686B05" w:rsidP="00686B05">
      <w:pPr>
        <w:spacing w:line="232" w:lineRule="auto"/>
        <w:jc w:val="both"/>
      </w:pPr>
    </w:p>
    <w:p w14:paraId="74B41778" w14:textId="77777777" w:rsidR="00686B05" w:rsidRDefault="00686B05" w:rsidP="00686B05">
      <w:pPr>
        <w:spacing w:line="232" w:lineRule="auto"/>
        <w:jc w:val="both"/>
      </w:pPr>
    </w:p>
    <w:p w14:paraId="618BBFFE" w14:textId="77777777" w:rsidR="00686B05" w:rsidRDefault="00686B05" w:rsidP="00686B05">
      <w:pPr>
        <w:spacing w:line="232" w:lineRule="auto"/>
        <w:jc w:val="both"/>
      </w:pPr>
    </w:p>
    <w:p w14:paraId="6B4CF810" w14:textId="77777777" w:rsidR="00686B05" w:rsidRDefault="00686B05" w:rsidP="00686B05">
      <w:pPr>
        <w:spacing w:line="232" w:lineRule="auto"/>
        <w:jc w:val="both"/>
      </w:pPr>
    </w:p>
    <w:p w14:paraId="26D95F08" w14:textId="0052A715" w:rsidR="000B200C" w:rsidRDefault="000B200C" w:rsidP="000B200C">
      <w:pPr>
        <w:spacing w:line="230" w:lineRule="auto"/>
        <w:jc w:val="both"/>
      </w:pPr>
    </w:p>
    <w:p w14:paraId="7DE08C7E" w14:textId="3A1BA4D3" w:rsidR="00686B05" w:rsidRDefault="00686B05" w:rsidP="000B200C">
      <w:pPr>
        <w:spacing w:line="230" w:lineRule="auto"/>
        <w:jc w:val="both"/>
      </w:pPr>
    </w:p>
    <w:p w14:paraId="518EF364" w14:textId="383B6E3A" w:rsidR="00686B05" w:rsidRDefault="00686B05" w:rsidP="000B200C">
      <w:pPr>
        <w:spacing w:line="230" w:lineRule="auto"/>
        <w:jc w:val="both"/>
      </w:pPr>
    </w:p>
    <w:p w14:paraId="5B008554" w14:textId="46C6A1BE" w:rsidR="00686B05" w:rsidRDefault="00686B05" w:rsidP="000B200C">
      <w:pPr>
        <w:spacing w:line="230" w:lineRule="auto"/>
        <w:jc w:val="both"/>
      </w:pPr>
    </w:p>
    <w:p w14:paraId="4D37D9C1" w14:textId="3E1FE771" w:rsidR="00686B05" w:rsidRDefault="00686B05" w:rsidP="000B200C">
      <w:pPr>
        <w:spacing w:line="230" w:lineRule="auto"/>
        <w:jc w:val="both"/>
      </w:pPr>
    </w:p>
    <w:p w14:paraId="68FEB563" w14:textId="5289EE67" w:rsidR="00686B05" w:rsidRDefault="00686B05" w:rsidP="000B200C">
      <w:pPr>
        <w:spacing w:line="230" w:lineRule="auto"/>
        <w:jc w:val="both"/>
      </w:pPr>
    </w:p>
    <w:p w14:paraId="108BC3C2" w14:textId="4A43471F" w:rsidR="00686B05" w:rsidRDefault="00686B05" w:rsidP="000B200C">
      <w:pPr>
        <w:spacing w:line="230" w:lineRule="auto"/>
        <w:jc w:val="both"/>
      </w:pPr>
    </w:p>
    <w:p w14:paraId="120C4861" w14:textId="04B926A1" w:rsidR="00686B05" w:rsidRDefault="00686B05" w:rsidP="000B200C">
      <w:pPr>
        <w:spacing w:line="230" w:lineRule="auto"/>
        <w:jc w:val="both"/>
      </w:pPr>
    </w:p>
    <w:p w14:paraId="4E0B94ED" w14:textId="406F178F" w:rsidR="00686B05" w:rsidRDefault="00686B05" w:rsidP="000B200C">
      <w:pPr>
        <w:spacing w:line="230" w:lineRule="auto"/>
        <w:jc w:val="both"/>
      </w:pPr>
    </w:p>
    <w:p w14:paraId="00E7AF15" w14:textId="4390E71C" w:rsidR="00686B05" w:rsidRDefault="00686B05" w:rsidP="000B200C">
      <w:pPr>
        <w:spacing w:line="230" w:lineRule="auto"/>
        <w:jc w:val="both"/>
      </w:pPr>
    </w:p>
    <w:p w14:paraId="28FF034D" w14:textId="1876B730" w:rsidR="00686B05" w:rsidRDefault="00686B05" w:rsidP="000B200C">
      <w:pPr>
        <w:spacing w:line="230" w:lineRule="auto"/>
        <w:jc w:val="both"/>
      </w:pPr>
    </w:p>
    <w:p w14:paraId="1D5E58F3" w14:textId="3D1C8075" w:rsidR="00686B05" w:rsidRDefault="00686B05" w:rsidP="000B200C">
      <w:pPr>
        <w:spacing w:line="230" w:lineRule="auto"/>
        <w:jc w:val="both"/>
      </w:pPr>
    </w:p>
    <w:p w14:paraId="0978F00F" w14:textId="0A3F5C89" w:rsidR="00686B05" w:rsidRDefault="00686B05" w:rsidP="000B200C">
      <w:pPr>
        <w:spacing w:line="230" w:lineRule="auto"/>
        <w:jc w:val="both"/>
      </w:pPr>
    </w:p>
    <w:p w14:paraId="3BCDAEAA" w14:textId="77777777" w:rsidR="00686B05" w:rsidRDefault="00686B05" w:rsidP="000B200C">
      <w:pPr>
        <w:spacing w:line="230" w:lineRule="auto"/>
        <w:jc w:val="both"/>
      </w:pPr>
    </w:p>
    <w:p w14:paraId="7C1F85A0" w14:textId="77777777" w:rsidR="000B200C" w:rsidRDefault="000B200C" w:rsidP="000B200C">
      <w:pPr>
        <w:spacing w:line="230" w:lineRule="auto"/>
        <w:jc w:val="both"/>
      </w:pPr>
      <w:r>
        <w:rPr>
          <w:b/>
          <w:bCs/>
        </w:rPr>
        <w:t>References</w:t>
      </w:r>
      <w:r>
        <w:t xml:space="preserve"> </w:t>
      </w:r>
    </w:p>
    <w:p w14:paraId="4AB2BDF0" w14:textId="77777777" w:rsidR="00686B05" w:rsidRDefault="00686B05" w:rsidP="000B200C">
      <w:pPr>
        <w:spacing w:line="230" w:lineRule="auto"/>
        <w:jc w:val="both"/>
      </w:pPr>
    </w:p>
    <w:p w14:paraId="05174148" w14:textId="77777777" w:rsidR="00686B05" w:rsidRPr="00686B05" w:rsidRDefault="00686B05" w:rsidP="00686B05">
      <w:pPr>
        <w:spacing w:after="160" w:line="259" w:lineRule="auto"/>
        <w:jc w:val="both"/>
        <w:rPr>
          <w:rFonts w:eastAsia="Calibri" w:cs="Times New Roman"/>
          <w:noProof w:val="0"/>
          <w:sz w:val="24"/>
          <w:szCs w:val="24"/>
          <w:lang w:bidi="fa-IR"/>
        </w:rPr>
      </w:pPr>
      <w:r w:rsidRPr="00686B05">
        <w:rPr>
          <w:rFonts w:eastAsia="Calibri" w:cs="Times New Roman"/>
          <w:b/>
          <w:bCs/>
          <w:noProof w:val="0"/>
          <w:sz w:val="24"/>
          <w:szCs w:val="24"/>
          <w:lang w:bidi="fa-IR"/>
        </w:rPr>
        <w:t>A) Persian Sources</w:t>
      </w:r>
    </w:p>
    <w:p w14:paraId="68301ED3"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Cheraghi-Kotiani, M. R. (1387). </w:t>
      </w:r>
      <w:r w:rsidRPr="00686B05">
        <w:rPr>
          <w:rFonts w:eastAsia="Calibri" w:cs="Times New Roman"/>
          <w:i/>
          <w:iCs/>
          <w:noProof w:val="0"/>
          <w:sz w:val="24"/>
          <w:szCs w:val="24"/>
          <w:lang w:bidi="fa-IR"/>
        </w:rPr>
        <w:t>Barrasi-ye Mafhumi-ye Khoshonat dar Hoquq-e Keyfari</w:t>
      </w:r>
      <w:r w:rsidRPr="00686B05">
        <w:rPr>
          <w:rFonts w:eastAsia="Calibri" w:cs="Times New Roman"/>
          <w:noProof w:val="0"/>
          <w:sz w:val="24"/>
          <w:szCs w:val="24"/>
          <w:lang w:bidi="fa-IR"/>
        </w:rPr>
        <w:t xml:space="preserve"> [A Conceptual Study of Violence in Criminal Law]. Tehran: Nashr-e Mizan.</w:t>
      </w:r>
    </w:p>
    <w:p w14:paraId="191B8349"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Khamenei, S. A. (1395). </w:t>
      </w:r>
      <w:r w:rsidRPr="00686B05">
        <w:rPr>
          <w:rFonts w:eastAsia="Calibri" w:cs="Times New Roman"/>
          <w:i/>
          <w:iCs/>
          <w:noProof w:val="0"/>
          <w:sz w:val="24"/>
          <w:szCs w:val="24"/>
          <w:lang w:bidi="fa-IR"/>
        </w:rPr>
        <w:t>Zan va Khanevadeh</w:t>
      </w:r>
      <w:r w:rsidRPr="00686B05">
        <w:rPr>
          <w:rFonts w:eastAsia="Calibri" w:cs="Times New Roman"/>
          <w:noProof w:val="0"/>
          <w:sz w:val="24"/>
          <w:szCs w:val="24"/>
          <w:lang w:bidi="fa-IR"/>
        </w:rPr>
        <w:t xml:space="preserve"> [Woman and Family]. Tehran: Enqelab-e Eslami.</w:t>
      </w:r>
    </w:p>
    <w:p w14:paraId="4F8839F2"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Dehkhoda, A. A. (1377). </w:t>
      </w:r>
      <w:r w:rsidRPr="00686B05">
        <w:rPr>
          <w:rFonts w:eastAsia="Calibri" w:cs="Times New Roman"/>
          <w:i/>
          <w:iCs/>
          <w:noProof w:val="0"/>
          <w:sz w:val="24"/>
          <w:szCs w:val="24"/>
          <w:lang w:bidi="fa-IR"/>
        </w:rPr>
        <w:t>Loghatnameh-ye Dehkhoda</w:t>
      </w:r>
      <w:r w:rsidRPr="00686B05">
        <w:rPr>
          <w:rFonts w:eastAsia="Calibri" w:cs="Times New Roman"/>
          <w:noProof w:val="0"/>
          <w:sz w:val="24"/>
          <w:szCs w:val="24"/>
          <w:lang w:bidi="fa-IR"/>
        </w:rPr>
        <w:t xml:space="preserve"> (Vol. 6). Tehran: University of Tehran.</w:t>
      </w:r>
    </w:p>
    <w:p w14:paraId="3823DC1F"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Salarzadeh, M. (1389). </w:t>
      </w:r>
      <w:r w:rsidRPr="00686B05">
        <w:rPr>
          <w:rFonts w:eastAsia="Calibri" w:cs="Times New Roman"/>
          <w:i/>
          <w:iCs/>
          <w:noProof w:val="0"/>
          <w:sz w:val="24"/>
          <w:szCs w:val="24"/>
          <w:lang w:bidi="fa-IR"/>
        </w:rPr>
        <w:t>Khoshonat-e Khanevadegi ‘Alayh-e Zanan</w:t>
      </w:r>
      <w:r w:rsidRPr="00686B05">
        <w:rPr>
          <w:rFonts w:eastAsia="Calibri" w:cs="Times New Roman"/>
          <w:noProof w:val="0"/>
          <w:sz w:val="24"/>
          <w:szCs w:val="24"/>
          <w:lang w:bidi="fa-IR"/>
        </w:rPr>
        <w:t xml:space="preserve"> [Domestic Violence against Women]. Tehran: Research Institute for Cultural Studies.</w:t>
      </w:r>
    </w:p>
    <w:p w14:paraId="52C0579E"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Salari-Far, Z., &amp; Tabik, M. (1389). </w:t>
      </w:r>
      <w:r w:rsidRPr="00686B05">
        <w:rPr>
          <w:rFonts w:eastAsia="Calibri" w:cs="Times New Roman"/>
          <w:i/>
          <w:iCs/>
          <w:noProof w:val="0"/>
          <w:sz w:val="24"/>
          <w:szCs w:val="24"/>
          <w:lang w:bidi="fa-IR"/>
        </w:rPr>
        <w:t>Amuzesh-ha-ye Moghabele ba Khoshonat-e Khanevadegi ‘Alayh-e Zanan</w:t>
      </w:r>
      <w:r w:rsidRPr="00686B05">
        <w:rPr>
          <w:rFonts w:eastAsia="Calibri" w:cs="Times New Roman"/>
          <w:noProof w:val="0"/>
          <w:sz w:val="24"/>
          <w:szCs w:val="24"/>
          <w:lang w:bidi="fa-IR"/>
        </w:rPr>
        <w:t xml:space="preserve"> [Training for Combating Domestic Violence against Women]. Tehran: Office of Women’s Affairs, Presidential Office.</w:t>
      </w:r>
    </w:p>
    <w:p w14:paraId="37EE37BE"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Tabatabai, S. M. H. (1380). </w:t>
      </w:r>
      <w:r w:rsidRPr="00686B05">
        <w:rPr>
          <w:rFonts w:eastAsia="Calibri" w:cs="Times New Roman"/>
          <w:i/>
          <w:iCs/>
          <w:noProof w:val="0"/>
          <w:sz w:val="24"/>
          <w:szCs w:val="24"/>
          <w:lang w:bidi="fa-IR"/>
        </w:rPr>
        <w:t>Tarjomeh-ye Tafsir al-Mizan</w:t>
      </w:r>
      <w:r w:rsidRPr="00686B05">
        <w:rPr>
          <w:rFonts w:eastAsia="Calibri" w:cs="Times New Roman"/>
          <w:noProof w:val="0"/>
          <w:sz w:val="24"/>
          <w:szCs w:val="24"/>
          <w:lang w:bidi="fa-IR"/>
        </w:rPr>
        <w:t xml:space="preserve"> (Vol. 1). Qom: Daftar-e Entesharat-e Eslami.</w:t>
      </w:r>
    </w:p>
    <w:p w14:paraId="48DD4AB7"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Amid, H. (1389). </w:t>
      </w:r>
      <w:r w:rsidRPr="00686B05">
        <w:rPr>
          <w:rFonts w:eastAsia="Calibri" w:cs="Times New Roman"/>
          <w:i/>
          <w:iCs/>
          <w:noProof w:val="0"/>
          <w:sz w:val="24"/>
          <w:szCs w:val="24"/>
          <w:lang w:bidi="fa-IR"/>
        </w:rPr>
        <w:t>Farhang-e Farsi Amid</w:t>
      </w:r>
      <w:r w:rsidRPr="00686B05">
        <w:rPr>
          <w:rFonts w:eastAsia="Calibri" w:cs="Times New Roman"/>
          <w:noProof w:val="0"/>
          <w:sz w:val="24"/>
          <w:szCs w:val="24"/>
          <w:lang w:bidi="fa-IR"/>
        </w:rPr>
        <w:t xml:space="preserve"> [Amid Persian Dictionary]. Tehran: Amir Kabir.</w:t>
      </w:r>
    </w:p>
    <w:p w14:paraId="6C882E63"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i/>
          <w:iCs/>
          <w:noProof w:val="0"/>
          <w:sz w:val="24"/>
          <w:szCs w:val="24"/>
          <w:lang w:bidi="fa-IR"/>
        </w:rPr>
        <w:t>Criminal Procedure Code of the Islamic Republic of Iran</w:t>
      </w:r>
      <w:r w:rsidRPr="00686B05">
        <w:rPr>
          <w:rFonts w:eastAsia="Calibri" w:cs="Times New Roman"/>
          <w:noProof w:val="0"/>
          <w:sz w:val="24"/>
          <w:szCs w:val="24"/>
          <w:lang w:bidi="fa-IR"/>
        </w:rPr>
        <w:t xml:space="preserve"> (Articles 82 &amp; 83).</w:t>
      </w:r>
    </w:p>
    <w:p w14:paraId="3F6878FC"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i/>
          <w:iCs/>
          <w:noProof w:val="0"/>
          <w:sz w:val="24"/>
          <w:szCs w:val="24"/>
          <w:lang w:bidi="fa-IR"/>
        </w:rPr>
        <w:t>Law on Dispute Resolution Councils</w:t>
      </w:r>
      <w:r w:rsidRPr="00686B05">
        <w:rPr>
          <w:rFonts w:eastAsia="Calibri" w:cs="Times New Roman"/>
          <w:noProof w:val="0"/>
          <w:sz w:val="24"/>
          <w:szCs w:val="24"/>
          <w:lang w:bidi="fa-IR"/>
        </w:rPr>
        <w:t xml:space="preserve"> (1394).</w:t>
      </w:r>
    </w:p>
    <w:p w14:paraId="25F6407A"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Martus, E., Razavi, M., &amp; Ahmadi, N. (1382). </w:t>
      </w:r>
      <w:r w:rsidRPr="00686B05">
        <w:rPr>
          <w:rFonts w:eastAsia="Calibri" w:cs="Times New Roman"/>
          <w:i/>
          <w:iCs/>
          <w:noProof w:val="0"/>
          <w:sz w:val="24"/>
          <w:szCs w:val="24"/>
          <w:lang w:bidi="fa-IR"/>
        </w:rPr>
        <w:t>Khoshonat ‘Alayh-e Zanan; Ruykard-ha-ye Hoquqi va Ejtemai</w:t>
      </w:r>
      <w:r w:rsidRPr="00686B05">
        <w:rPr>
          <w:rFonts w:eastAsia="Calibri" w:cs="Times New Roman"/>
          <w:noProof w:val="0"/>
          <w:sz w:val="24"/>
          <w:szCs w:val="24"/>
          <w:lang w:bidi="fa-IR"/>
        </w:rPr>
        <w:t xml:space="preserve"> [Violence against Women: Legal and Social Approaches]. Tehran: Nashr-e Agah.</w:t>
      </w:r>
    </w:p>
    <w:p w14:paraId="7314557E"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i/>
          <w:iCs/>
          <w:noProof w:val="0"/>
          <w:sz w:val="24"/>
          <w:szCs w:val="24"/>
          <w:lang w:bidi="fa-IR"/>
        </w:rPr>
        <w:t>Comparative Study of National and International Laws on Eliminating Domestic Violence against Women</w:t>
      </w:r>
      <w:r w:rsidRPr="00686B05">
        <w:rPr>
          <w:rFonts w:eastAsia="Calibri" w:cs="Times New Roman"/>
          <w:noProof w:val="0"/>
          <w:sz w:val="24"/>
          <w:szCs w:val="24"/>
          <w:lang w:bidi="fa-IR"/>
        </w:rPr>
        <w:t xml:space="preserve"> (1400). Tehran: Judicial Research Institute.</w:t>
      </w:r>
    </w:p>
    <w:p w14:paraId="6E20C66C"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Motahhari, M. (1395). </w:t>
      </w:r>
      <w:r w:rsidRPr="00686B05">
        <w:rPr>
          <w:rFonts w:eastAsia="Calibri" w:cs="Times New Roman"/>
          <w:i/>
          <w:iCs/>
          <w:noProof w:val="0"/>
          <w:sz w:val="24"/>
          <w:szCs w:val="24"/>
          <w:lang w:bidi="fa-IR"/>
        </w:rPr>
        <w:t>Nezam-e Hoquq-e Zan dar Islam</w:t>
      </w:r>
      <w:r w:rsidRPr="00686B05">
        <w:rPr>
          <w:rFonts w:eastAsia="Calibri" w:cs="Times New Roman"/>
          <w:noProof w:val="0"/>
          <w:sz w:val="24"/>
          <w:szCs w:val="24"/>
          <w:lang w:bidi="fa-IR"/>
        </w:rPr>
        <w:t xml:space="preserve"> [The Legal System of Women in Islam]. Tehran: Sadra.</w:t>
      </w:r>
    </w:p>
    <w:p w14:paraId="7A68FC9D"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Moein, M. (1389). </w:t>
      </w:r>
      <w:r w:rsidRPr="00686B05">
        <w:rPr>
          <w:rFonts w:eastAsia="Calibri" w:cs="Times New Roman"/>
          <w:i/>
          <w:iCs/>
          <w:noProof w:val="0"/>
          <w:sz w:val="24"/>
          <w:szCs w:val="24"/>
          <w:lang w:bidi="fa-IR"/>
        </w:rPr>
        <w:t>Farhang-e Moein</w:t>
      </w:r>
      <w:r w:rsidRPr="00686B05">
        <w:rPr>
          <w:rFonts w:eastAsia="Calibri" w:cs="Times New Roman"/>
          <w:noProof w:val="0"/>
          <w:sz w:val="24"/>
          <w:szCs w:val="24"/>
          <w:lang w:bidi="fa-IR"/>
        </w:rPr>
        <w:t xml:space="preserve"> [Moein Dictionary]. Tehran: Amir Kabir.</w:t>
      </w:r>
    </w:p>
    <w:p w14:paraId="28B01C15"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McQuigg, S. (1394). </w:t>
      </w:r>
      <w:r w:rsidRPr="00686B05">
        <w:rPr>
          <w:rFonts w:eastAsia="Calibri" w:cs="Times New Roman"/>
          <w:i/>
          <w:iCs/>
          <w:noProof w:val="0"/>
          <w:sz w:val="24"/>
          <w:szCs w:val="24"/>
          <w:lang w:bidi="fa-IR"/>
        </w:rPr>
        <w:t>Khoshonat-e Khanevadegi va Siyasat-e Keyfari</w:t>
      </w:r>
      <w:r w:rsidRPr="00686B05">
        <w:rPr>
          <w:rFonts w:eastAsia="Calibri" w:cs="Times New Roman"/>
          <w:noProof w:val="0"/>
          <w:sz w:val="24"/>
          <w:szCs w:val="24"/>
          <w:lang w:bidi="fa-IR"/>
        </w:rPr>
        <w:t xml:space="preserve"> [Domestic Violence and Criminal Policy; Persian Translation]. Tehran: Jangal.</w:t>
      </w:r>
    </w:p>
    <w:p w14:paraId="07320DA6"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Mousavi, M. J. (1394). </w:t>
      </w:r>
      <w:r w:rsidRPr="00686B05">
        <w:rPr>
          <w:rFonts w:eastAsia="Calibri" w:cs="Times New Roman"/>
          <w:i/>
          <w:iCs/>
          <w:noProof w:val="0"/>
          <w:sz w:val="24"/>
          <w:szCs w:val="24"/>
          <w:lang w:bidi="fa-IR"/>
        </w:rPr>
        <w:t>Bozhe-didegi-ye Zanan va Siyasat-e Jenayi</w:t>
      </w:r>
      <w:r w:rsidRPr="00686B05">
        <w:rPr>
          <w:rFonts w:eastAsia="Calibri" w:cs="Times New Roman"/>
          <w:noProof w:val="0"/>
          <w:sz w:val="24"/>
          <w:szCs w:val="24"/>
          <w:lang w:bidi="fa-IR"/>
        </w:rPr>
        <w:t xml:space="preserve"> [Victimization of Women and Criminal Policy]. Tehran: Mizan.</w:t>
      </w:r>
    </w:p>
    <w:p w14:paraId="26425FBD"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Vakili, H. (1384). </w:t>
      </w:r>
      <w:r w:rsidRPr="00686B05">
        <w:rPr>
          <w:rFonts w:eastAsia="Calibri" w:cs="Times New Roman"/>
          <w:i/>
          <w:iCs/>
          <w:noProof w:val="0"/>
          <w:sz w:val="24"/>
          <w:szCs w:val="24"/>
          <w:lang w:bidi="fa-IR"/>
        </w:rPr>
        <w:t>Naghsh-e Rezayat-e Bozhe-dideh dar Farayand-e Edalat-e Keyfari</w:t>
      </w:r>
      <w:r w:rsidRPr="00686B05">
        <w:rPr>
          <w:rFonts w:eastAsia="Calibri" w:cs="Times New Roman"/>
          <w:noProof w:val="0"/>
          <w:sz w:val="24"/>
          <w:szCs w:val="24"/>
          <w:lang w:bidi="fa-IR"/>
        </w:rPr>
        <w:t xml:space="preserve"> [The Role of Victim Consent in the Criminal Justice Process]. Tehran: SAMT.</w:t>
      </w:r>
    </w:p>
    <w:p w14:paraId="5B5FA59B" w14:textId="77777777" w:rsidR="00686B05" w:rsidRPr="00686B05" w:rsidRDefault="00686B05" w:rsidP="00686B05">
      <w:pPr>
        <w:numPr>
          <w:ilvl w:val="0"/>
          <w:numId w:val="17"/>
        </w:numPr>
        <w:spacing w:after="160" w:line="259" w:lineRule="auto"/>
        <w:jc w:val="both"/>
        <w:rPr>
          <w:rFonts w:eastAsia="Calibri" w:cs="Times New Roman"/>
          <w:noProof w:val="0"/>
          <w:sz w:val="24"/>
          <w:szCs w:val="24"/>
          <w:lang w:bidi="fa-IR"/>
        </w:rPr>
      </w:pPr>
      <w:r w:rsidRPr="00686B05">
        <w:rPr>
          <w:rFonts w:eastAsia="Calibri" w:cs="Times New Roman"/>
          <w:noProof w:val="0"/>
          <w:sz w:val="24"/>
          <w:szCs w:val="24"/>
          <w:lang w:bidi="fa-IR"/>
        </w:rPr>
        <w:t xml:space="preserve">Hedayat-Nia, A. (1384). </w:t>
      </w:r>
      <w:r w:rsidRPr="00686B05">
        <w:rPr>
          <w:rFonts w:eastAsia="Calibri" w:cs="Times New Roman"/>
          <w:i/>
          <w:iCs/>
          <w:noProof w:val="0"/>
          <w:sz w:val="24"/>
          <w:szCs w:val="24"/>
          <w:lang w:bidi="fa-IR"/>
        </w:rPr>
        <w:t>Edalat-e Tarmimi va Siyasat-e Jenayi</w:t>
      </w:r>
      <w:r w:rsidRPr="00686B05">
        <w:rPr>
          <w:rFonts w:eastAsia="Calibri" w:cs="Times New Roman"/>
          <w:noProof w:val="0"/>
          <w:sz w:val="24"/>
          <w:szCs w:val="24"/>
          <w:lang w:bidi="fa-IR"/>
        </w:rPr>
        <w:t xml:space="preserve"> [Restorative Justice and Criminal Policy]. Qom: Boostan-e Ketab.</w:t>
      </w:r>
    </w:p>
    <w:p w14:paraId="7F61243D"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cs="Times New Roman"/>
          <w:b/>
          <w:bCs/>
          <w:noProof w:val="0"/>
          <w:sz w:val="24"/>
          <w:szCs w:val="24"/>
          <w:lang w:bidi="fa-IR"/>
        </w:rPr>
        <w:lastRenderedPageBreak/>
        <w:t>- Articles</w:t>
      </w:r>
    </w:p>
    <w:p w14:paraId="4CB83ECE" w14:textId="77777777" w:rsidR="00686B05" w:rsidRPr="00686B05" w:rsidRDefault="00686B05" w:rsidP="00686B05">
      <w:pPr>
        <w:numPr>
          <w:ilvl w:val="0"/>
          <w:numId w:val="18"/>
        </w:numPr>
        <w:spacing w:before="100" w:beforeAutospacing="1" w:after="100" w:afterAutospacing="1" w:line="259" w:lineRule="auto"/>
        <w:rPr>
          <w:rFonts w:cs="Times New Roman"/>
          <w:noProof w:val="0"/>
          <w:sz w:val="24"/>
          <w:szCs w:val="24"/>
          <w:lang w:bidi="fa-IR"/>
        </w:rPr>
      </w:pPr>
      <w:r w:rsidRPr="00686B05">
        <w:rPr>
          <w:rFonts w:cs="Times New Roman"/>
          <w:noProof w:val="0"/>
          <w:sz w:val="24"/>
          <w:szCs w:val="24"/>
          <w:lang w:bidi="fa-IR"/>
        </w:rPr>
        <w:t xml:space="preserve">Khosroshahi, M. H., &amp; Yaraqi, F. (1392). “Barrasi-ye Ab‘ad-e Khoshonat ‘Alayh-e Zanan dar Hoquq-e Iran” [A Study of the Dimensions of Violence against Women in Iranian Law]. </w:t>
      </w:r>
      <w:r w:rsidRPr="00686B05">
        <w:rPr>
          <w:rFonts w:cs="Times New Roman"/>
          <w:i/>
          <w:iCs/>
          <w:noProof w:val="0"/>
          <w:sz w:val="24"/>
          <w:szCs w:val="24"/>
          <w:lang w:bidi="fa-IR"/>
        </w:rPr>
        <w:t>Faslnameh-ye Zan va Khanevadeh</w:t>
      </w:r>
      <w:r w:rsidRPr="00686B05">
        <w:rPr>
          <w:rFonts w:cs="Times New Roman"/>
          <w:noProof w:val="0"/>
          <w:sz w:val="24"/>
          <w:szCs w:val="24"/>
          <w:lang w:bidi="fa-IR"/>
        </w:rPr>
        <w:t>, 5(2), 135–160.</w:t>
      </w:r>
    </w:p>
    <w:p w14:paraId="534E4E69" w14:textId="77777777" w:rsidR="00686B05" w:rsidRPr="00686B05" w:rsidRDefault="00686B05" w:rsidP="00686B05">
      <w:pPr>
        <w:numPr>
          <w:ilvl w:val="0"/>
          <w:numId w:val="18"/>
        </w:numPr>
        <w:spacing w:before="100" w:beforeAutospacing="1" w:after="100" w:afterAutospacing="1" w:line="259" w:lineRule="auto"/>
        <w:rPr>
          <w:rFonts w:cs="Times New Roman"/>
          <w:noProof w:val="0"/>
          <w:sz w:val="24"/>
          <w:szCs w:val="24"/>
          <w:lang w:bidi="fa-IR"/>
        </w:rPr>
      </w:pPr>
      <w:r w:rsidRPr="00686B05">
        <w:rPr>
          <w:rFonts w:cs="Times New Roman"/>
          <w:noProof w:val="0"/>
          <w:sz w:val="24"/>
          <w:szCs w:val="24"/>
          <w:lang w:bidi="fa-IR"/>
        </w:rPr>
        <w:t xml:space="preserve">Kalhor, S., &amp; Arhami, L. (1392). “Mianjigari-ye Keyfari va Chalesh-ha-ye An dar Jara’im-e Khanevadegi” [Criminal Mediation and Its Challenges in Family Offenses]. </w:t>
      </w:r>
      <w:r w:rsidRPr="00686B05">
        <w:rPr>
          <w:rFonts w:cs="Times New Roman"/>
          <w:i/>
          <w:iCs/>
          <w:noProof w:val="0"/>
          <w:sz w:val="24"/>
          <w:szCs w:val="24"/>
          <w:lang w:bidi="fa-IR"/>
        </w:rPr>
        <w:t>Pazhoheshnameh-ye Hoquq-e Keyfari</w:t>
      </w:r>
      <w:r w:rsidRPr="00686B05">
        <w:rPr>
          <w:rFonts w:cs="Times New Roman"/>
          <w:noProof w:val="0"/>
          <w:sz w:val="24"/>
          <w:szCs w:val="24"/>
          <w:lang w:bidi="fa-IR"/>
        </w:rPr>
        <w:t>, 4(1), 55–85.</w:t>
      </w:r>
    </w:p>
    <w:p w14:paraId="7E22E95C" w14:textId="77777777" w:rsidR="00686B05" w:rsidRPr="00686B05" w:rsidRDefault="00686B05" w:rsidP="00686B05">
      <w:pPr>
        <w:numPr>
          <w:ilvl w:val="0"/>
          <w:numId w:val="18"/>
        </w:numPr>
        <w:spacing w:before="100" w:beforeAutospacing="1" w:after="100" w:afterAutospacing="1" w:line="259" w:lineRule="auto"/>
        <w:rPr>
          <w:rFonts w:cs="Times New Roman"/>
          <w:noProof w:val="0"/>
          <w:sz w:val="24"/>
          <w:szCs w:val="24"/>
          <w:lang w:bidi="fa-IR"/>
        </w:rPr>
      </w:pPr>
      <w:r w:rsidRPr="00686B05">
        <w:rPr>
          <w:rFonts w:cs="Times New Roman"/>
          <w:noProof w:val="0"/>
          <w:sz w:val="24"/>
          <w:szCs w:val="24"/>
          <w:lang w:bidi="fa-IR"/>
        </w:rPr>
        <w:t xml:space="preserve">Mirjafari, A., Rezaei, H., &amp; Karimi, S. (1400). “Tahlil-e Enteqadi-ye Mianjigari dar Jara’im-e Khoshonat-e Khanevadegi” [Critical Analysis of Mediation in Domestic Violence Crimes]. </w:t>
      </w:r>
      <w:r w:rsidRPr="00686B05">
        <w:rPr>
          <w:rFonts w:cs="Times New Roman"/>
          <w:i/>
          <w:iCs/>
          <w:noProof w:val="0"/>
          <w:sz w:val="24"/>
          <w:szCs w:val="24"/>
          <w:lang w:bidi="fa-IR"/>
        </w:rPr>
        <w:t>Majalleh-ye Motale‘at-e Hoquqi</w:t>
      </w:r>
      <w:r w:rsidRPr="00686B05">
        <w:rPr>
          <w:rFonts w:cs="Times New Roman"/>
          <w:noProof w:val="0"/>
          <w:sz w:val="24"/>
          <w:szCs w:val="24"/>
          <w:lang w:bidi="fa-IR"/>
        </w:rPr>
        <w:t>, 12(1), 25–45.</w:t>
      </w:r>
    </w:p>
    <w:p w14:paraId="1C5F58BF" w14:textId="77777777" w:rsidR="00686B05" w:rsidRPr="00686B05" w:rsidRDefault="00686B05" w:rsidP="00686B05">
      <w:pPr>
        <w:numPr>
          <w:ilvl w:val="0"/>
          <w:numId w:val="18"/>
        </w:numPr>
        <w:spacing w:before="100" w:beforeAutospacing="1" w:after="100" w:afterAutospacing="1" w:line="259" w:lineRule="auto"/>
        <w:rPr>
          <w:rFonts w:cs="Times New Roman"/>
          <w:noProof w:val="0"/>
          <w:sz w:val="24"/>
          <w:szCs w:val="24"/>
          <w:lang w:bidi="fa-IR"/>
        </w:rPr>
      </w:pPr>
      <w:r w:rsidRPr="00686B05">
        <w:rPr>
          <w:rFonts w:cs="Times New Roman"/>
          <w:noProof w:val="0"/>
          <w:sz w:val="24"/>
          <w:szCs w:val="24"/>
          <w:lang w:bidi="fa-IR"/>
        </w:rPr>
        <w:t xml:space="preserve">Noormohammadi, A. (1389). </w:t>
      </w:r>
      <w:r w:rsidRPr="00686B05">
        <w:rPr>
          <w:rFonts w:cs="Times New Roman"/>
          <w:i/>
          <w:iCs/>
          <w:noProof w:val="0"/>
          <w:sz w:val="24"/>
          <w:szCs w:val="24"/>
          <w:lang w:bidi="fa-IR"/>
        </w:rPr>
        <w:t>Naf-e Khoshonat ‘Alayh-e Zanan dar Feqh va Hoquq-e Islami</w:t>
      </w:r>
      <w:r w:rsidRPr="00686B05">
        <w:rPr>
          <w:rFonts w:cs="Times New Roman"/>
          <w:noProof w:val="0"/>
          <w:sz w:val="24"/>
          <w:szCs w:val="24"/>
          <w:lang w:bidi="fa-IR"/>
        </w:rPr>
        <w:t xml:space="preserve"> [Denial of Violence against Women in Islamic Jurisprudence and Law]. Qom: Islamic Sciences and Culture Research Institute.</w:t>
      </w:r>
    </w:p>
    <w:p w14:paraId="10DC67A3" w14:textId="77777777" w:rsidR="00686B05" w:rsidRPr="00686B05" w:rsidRDefault="00686B05" w:rsidP="00686B05">
      <w:pPr>
        <w:spacing w:before="100" w:beforeAutospacing="1" w:after="100" w:afterAutospacing="1"/>
        <w:ind w:left="360"/>
        <w:rPr>
          <w:rFonts w:cs="Times New Roman"/>
          <w:b/>
          <w:bCs/>
          <w:noProof w:val="0"/>
          <w:sz w:val="24"/>
          <w:szCs w:val="24"/>
          <w:lang w:bidi="fa-IR"/>
        </w:rPr>
      </w:pPr>
      <w:r w:rsidRPr="00686B05">
        <w:rPr>
          <w:rFonts w:cs="Times New Roman"/>
          <w:b/>
          <w:bCs/>
          <w:noProof w:val="0"/>
          <w:sz w:val="24"/>
          <w:szCs w:val="24"/>
          <w:lang w:bidi="fa-IR"/>
        </w:rPr>
        <w:t>B) English Sources</w:t>
      </w:r>
    </w:p>
    <w:p w14:paraId="7280A04B"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Braithwaite, J. (2002). </w:t>
      </w:r>
      <w:r w:rsidRPr="00686B05">
        <w:rPr>
          <w:rFonts w:cs="Times New Roman"/>
          <w:i/>
          <w:iCs/>
          <w:noProof w:val="0"/>
          <w:sz w:val="24"/>
          <w:szCs w:val="24"/>
          <w:lang w:bidi="fa-IR"/>
        </w:rPr>
        <w:t>Restorative Justice and Responsive Regulation</w:t>
      </w:r>
      <w:r w:rsidRPr="00686B05">
        <w:rPr>
          <w:rFonts w:cs="Times New Roman"/>
          <w:noProof w:val="0"/>
          <w:sz w:val="24"/>
          <w:szCs w:val="24"/>
          <w:lang w:bidi="fa-IR"/>
        </w:rPr>
        <w:t>. Oxford: Oxford University Press.</w:t>
      </w:r>
    </w:p>
    <w:p w14:paraId="4B925368"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Cafcass. (2021). </w:t>
      </w:r>
      <w:r w:rsidRPr="00686B05">
        <w:rPr>
          <w:rFonts w:cs="Times New Roman"/>
          <w:i/>
          <w:iCs/>
          <w:noProof w:val="0"/>
          <w:sz w:val="24"/>
          <w:szCs w:val="24"/>
          <w:lang w:bidi="fa-IR"/>
        </w:rPr>
        <w:t>Domestic Abuse and Family Proceedings</w:t>
      </w:r>
      <w:r w:rsidRPr="00686B05">
        <w:rPr>
          <w:rFonts w:cs="Times New Roman"/>
          <w:noProof w:val="0"/>
          <w:sz w:val="24"/>
          <w:szCs w:val="24"/>
          <w:lang w:bidi="fa-IR"/>
        </w:rPr>
        <w:t>. London: Cafcass.</w:t>
      </w:r>
    </w:p>
    <w:p w14:paraId="4796A7DB"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Domestic Abuse Act. (2021). United Kingdom, Sections 1 &amp; 9.</w:t>
      </w:r>
    </w:p>
    <w:p w14:paraId="79B245AF"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Family Mediation Council (FMC). (2023). </w:t>
      </w:r>
      <w:r w:rsidRPr="00686B05">
        <w:rPr>
          <w:rFonts w:cs="Times New Roman"/>
          <w:i/>
          <w:iCs/>
          <w:noProof w:val="0"/>
          <w:sz w:val="24"/>
          <w:szCs w:val="24"/>
          <w:lang w:bidi="fa-IR"/>
        </w:rPr>
        <w:t>Family Mediation Standards</w:t>
      </w:r>
      <w:r w:rsidRPr="00686B05">
        <w:rPr>
          <w:rFonts w:cs="Times New Roman"/>
          <w:noProof w:val="0"/>
          <w:sz w:val="24"/>
          <w:szCs w:val="24"/>
          <w:lang w:bidi="fa-IR"/>
        </w:rPr>
        <w:t>. London: FMC.</w:t>
      </w:r>
    </w:p>
    <w:p w14:paraId="47285591"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Herring, J. (2021). </w:t>
      </w:r>
      <w:r w:rsidRPr="00686B05">
        <w:rPr>
          <w:rFonts w:cs="Times New Roman"/>
          <w:i/>
          <w:iCs/>
          <w:noProof w:val="0"/>
          <w:sz w:val="24"/>
          <w:szCs w:val="24"/>
          <w:lang w:bidi="fa-IR"/>
        </w:rPr>
        <w:t>Family Law</w:t>
      </w:r>
      <w:r w:rsidRPr="00686B05">
        <w:rPr>
          <w:rFonts w:cs="Times New Roman"/>
          <w:noProof w:val="0"/>
          <w:sz w:val="24"/>
          <w:szCs w:val="24"/>
          <w:lang w:bidi="fa-IR"/>
        </w:rPr>
        <w:t xml:space="preserve"> (10th ed.). London: Pearson.</w:t>
      </w:r>
    </w:p>
    <w:p w14:paraId="7167736A"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Hester, M. (2011). “The Three Planet Model: Towards an Understanding of Contradictions in Approaches to Women and Children’s Safety in Contexts of Domestic Violence.” </w:t>
      </w:r>
      <w:r w:rsidRPr="00686B05">
        <w:rPr>
          <w:rFonts w:cs="Times New Roman"/>
          <w:i/>
          <w:iCs/>
          <w:noProof w:val="0"/>
          <w:sz w:val="24"/>
          <w:szCs w:val="24"/>
          <w:lang w:bidi="fa-IR"/>
        </w:rPr>
        <w:t>British Journal of Social Work</w:t>
      </w:r>
      <w:r w:rsidRPr="00686B05">
        <w:rPr>
          <w:rFonts w:cs="Times New Roman"/>
          <w:noProof w:val="0"/>
          <w:sz w:val="24"/>
          <w:szCs w:val="24"/>
          <w:lang w:bidi="fa-IR"/>
        </w:rPr>
        <w:t>, 41(5), 837–853.</w:t>
      </w:r>
    </w:p>
    <w:p w14:paraId="28C39E3F"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Home Office. (2021). </w:t>
      </w:r>
      <w:r w:rsidRPr="00686B05">
        <w:rPr>
          <w:rFonts w:cs="Times New Roman"/>
          <w:i/>
          <w:iCs/>
          <w:noProof w:val="0"/>
          <w:sz w:val="24"/>
          <w:szCs w:val="24"/>
          <w:lang w:bidi="fa-IR"/>
        </w:rPr>
        <w:t>Domestic Abuse Statutory Guidance</w:t>
      </w:r>
      <w:r w:rsidRPr="00686B05">
        <w:rPr>
          <w:rFonts w:cs="Times New Roman"/>
          <w:noProof w:val="0"/>
          <w:sz w:val="24"/>
          <w:szCs w:val="24"/>
          <w:lang w:bidi="fa-IR"/>
        </w:rPr>
        <w:t>. London: UK Government.</w:t>
      </w:r>
    </w:p>
    <w:p w14:paraId="739AB0B9"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Hoyle, C., &amp; Sanders, A. (2000). “The Victim’s Role in Offender Mediation.” </w:t>
      </w:r>
      <w:r w:rsidRPr="00686B05">
        <w:rPr>
          <w:rFonts w:cs="Times New Roman"/>
          <w:i/>
          <w:iCs/>
          <w:noProof w:val="0"/>
          <w:sz w:val="24"/>
          <w:szCs w:val="24"/>
          <w:lang w:bidi="fa-IR"/>
        </w:rPr>
        <w:t>British Journal of Criminology</w:t>
      </w:r>
      <w:r w:rsidRPr="00686B05">
        <w:rPr>
          <w:rFonts w:cs="Times New Roman"/>
          <w:noProof w:val="0"/>
          <w:sz w:val="24"/>
          <w:szCs w:val="24"/>
          <w:lang w:bidi="fa-IR"/>
        </w:rPr>
        <w:t>, 40(3), 432–451.</w:t>
      </w:r>
    </w:p>
    <w:p w14:paraId="107AA13F"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Legal Aid Agency (LAA). (2022). </w:t>
      </w:r>
      <w:r w:rsidRPr="00686B05">
        <w:rPr>
          <w:rFonts w:cs="Times New Roman"/>
          <w:i/>
          <w:iCs/>
          <w:noProof w:val="0"/>
          <w:sz w:val="24"/>
          <w:szCs w:val="24"/>
          <w:lang w:bidi="fa-IR"/>
        </w:rPr>
        <w:t>Mediation Guidance</w:t>
      </w:r>
      <w:r w:rsidRPr="00686B05">
        <w:rPr>
          <w:rFonts w:cs="Times New Roman"/>
          <w:noProof w:val="0"/>
          <w:sz w:val="24"/>
          <w:szCs w:val="24"/>
          <w:lang w:bidi="fa-IR"/>
        </w:rPr>
        <w:t>. London: LAA.</w:t>
      </w:r>
    </w:p>
    <w:p w14:paraId="4B88A110"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Moorhead, R. (2018). </w:t>
      </w:r>
      <w:r w:rsidRPr="00686B05">
        <w:rPr>
          <w:rFonts w:cs="Times New Roman"/>
          <w:i/>
          <w:iCs/>
          <w:noProof w:val="0"/>
          <w:sz w:val="24"/>
          <w:szCs w:val="24"/>
          <w:lang w:bidi="fa-IR"/>
        </w:rPr>
        <w:t>Regulating Dispute Resolution</w:t>
      </w:r>
      <w:r w:rsidRPr="00686B05">
        <w:rPr>
          <w:rFonts w:cs="Times New Roman"/>
          <w:noProof w:val="0"/>
          <w:sz w:val="24"/>
          <w:szCs w:val="24"/>
          <w:lang w:bidi="fa-IR"/>
        </w:rPr>
        <w:t>. Oxford: Hart Publishing.</w:t>
      </w:r>
    </w:p>
    <w:p w14:paraId="5397BEF9"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Walklate, S. (2004). </w:t>
      </w:r>
      <w:r w:rsidRPr="00686B05">
        <w:rPr>
          <w:rFonts w:cs="Times New Roman"/>
          <w:i/>
          <w:iCs/>
          <w:noProof w:val="0"/>
          <w:sz w:val="24"/>
          <w:szCs w:val="24"/>
          <w:lang w:bidi="fa-IR"/>
        </w:rPr>
        <w:t>Gender, Crime and Criminal Justice</w:t>
      </w:r>
      <w:r w:rsidRPr="00686B05">
        <w:rPr>
          <w:rFonts w:cs="Times New Roman"/>
          <w:noProof w:val="0"/>
          <w:sz w:val="24"/>
          <w:szCs w:val="24"/>
          <w:lang w:bidi="fa-IR"/>
        </w:rPr>
        <w:t>. Cullompton: Willan Publishing.</w:t>
      </w:r>
    </w:p>
    <w:p w14:paraId="7F864054" w14:textId="77777777" w:rsidR="00686B05" w:rsidRPr="00686B05" w:rsidRDefault="00686B05" w:rsidP="00686B05">
      <w:pPr>
        <w:spacing w:before="100" w:beforeAutospacing="1" w:after="100" w:afterAutospacing="1"/>
        <w:rPr>
          <w:rFonts w:cs="Times New Roman"/>
          <w:noProof w:val="0"/>
          <w:sz w:val="24"/>
          <w:szCs w:val="24"/>
          <w:lang w:bidi="fa-IR"/>
        </w:rPr>
      </w:pPr>
      <w:r w:rsidRPr="00686B05">
        <w:rPr>
          <w:rFonts w:hAnsi="Symbol" w:cs="Times New Roman"/>
          <w:noProof w:val="0"/>
          <w:sz w:val="24"/>
          <w:szCs w:val="24"/>
          <w:lang w:bidi="fa-IR"/>
        </w:rPr>
        <w:t></w:t>
      </w:r>
      <w:r w:rsidRPr="00686B05">
        <w:rPr>
          <w:rFonts w:cs="Times New Roman"/>
          <w:noProof w:val="0"/>
          <w:sz w:val="24"/>
          <w:szCs w:val="24"/>
          <w:lang w:bidi="fa-IR"/>
        </w:rPr>
        <w:t xml:space="preserve">  Zehr, H. (2015). </w:t>
      </w:r>
      <w:r w:rsidRPr="00686B05">
        <w:rPr>
          <w:rFonts w:cs="Times New Roman"/>
          <w:i/>
          <w:iCs/>
          <w:noProof w:val="0"/>
          <w:sz w:val="24"/>
          <w:szCs w:val="24"/>
          <w:lang w:bidi="fa-IR"/>
        </w:rPr>
        <w:t>The Little Book of Restorative Justice</w:t>
      </w:r>
      <w:r w:rsidRPr="00686B05">
        <w:rPr>
          <w:rFonts w:cs="Times New Roman"/>
          <w:noProof w:val="0"/>
          <w:sz w:val="24"/>
          <w:szCs w:val="24"/>
          <w:lang w:bidi="fa-IR"/>
        </w:rPr>
        <w:t>. New York: Good Books.</w:t>
      </w:r>
    </w:p>
    <w:p w14:paraId="2C84AC49" w14:textId="788DE5B4" w:rsidR="000B200C" w:rsidRDefault="000B200C" w:rsidP="00992AEA">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4E461" w14:textId="77777777" w:rsidR="00B64E14" w:rsidRDefault="00B64E14">
      <w:r>
        <w:separator/>
      </w:r>
    </w:p>
  </w:endnote>
  <w:endnote w:type="continuationSeparator" w:id="0">
    <w:p w14:paraId="356B5A13" w14:textId="77777777" w:rsidR="00B64E14" w:rsidRDefault="00B6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panose1 w:val="0000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0F4224F3"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930CDA">
      <w:rPr>
        <w:caps/>
      </w:rPr>
      <w:t>2</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2E023" w14:textId="77777777" w:rsidR="00B64E14" w:rsidRDefault="00B64E14" w:rsidP="0010114F">
      <w:pPr>
        <w:bidi/>
      </w:pPr>
      <w:r>
        <w:separator/>
      </w:r>
    </w:p>
  </w:footnote>
  <w:footnote w:type="continuationSeparator" w:id="0">
    <w:p w14:paraId="7D53C6FB" w14:textId="77777777" w:rsidR="00B64E14" w:rsidRDefault="00B64E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4D7F145" w:rsidR="00931BA1" w:rsidRDefault="000C00C5" w:rsidP="00AA30C4">
    <w:pPr>
      <w:pStyle w:val="Header"/>
    </w:pPr>
    <w:r>
      <w:rPr>
        <w:noProof/>
        <w:snapToGrid/>
        <w:lang w:bidi="fa-IR"/>
      </w:rPr>
      <w:drawing>
        <wp:anchor distT="0" distB="0" distL="114300" distR="114300" simplePos="0" relativeHeight="251658240" behindDoc="1" locked="0" layoutInCell="1" allowOverlap="1" wp14:anchorId="3B4F9A3D" wp14:editId="6BD486F9">
          <wp:simplePos x="0" y="0"/>
          <wp:positionH relativeFrom="column">
            <wp:posOffset>832485</wp:posOffset>
          </wp:positionH>
          <wp:positionV relativeFrom="paragraph">
            <wp:posOffset>-202565</wp:posOffset>
          </wp:positionV>
          <wp:extent cx="5940425" cy="722630"/>
          <wp:effectExtent l="0" t="0" r="3175" b="127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40979" name="Picture 207740979"/>
                  <pic:cNvPicPr/>
                </pic:nvPicPr>
                <pic:blipFill>
                  <a:blip r:embed="rId1">
                    <a:extLst>
                      <a:ext uri="{28A0092B-C50C-407E-A947-70E740481C1C}">
                        <a14:useLocalDpi xmlns:a14="http://schemas.microsoft.com/office/drawing/2010/main" val="0"/>
                      </a:ext>
                    </a:extLst>
                  </a:blip>
                  <a:stretch>
                    <a:fillRect/>
                  </a:stretch>
                </pic:blipFill>
                <pic:spPr>
                  <a:xfrm>
                    <a:off x="0" y="0"/>
                    <a:ext cx="5940425" cy="7226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D523A1B"/>
    <w:multiLevelType w:val="multilevel"/>
    <w:tmpl w:val="BFE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C90AF9"/>
    <w:multiLevelType w:val="multilevel"/>
    <w:tmpl w:val="500E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4A6183"/>
    <w:multiLevelType w:val="multilevel"/>
    <w:tmpl w:val="3D6A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17"/>
  </w:num>
  <w:num w:numId="4">
    <w:abstractNumId w:val="0"/>
  </w:num>
  <w:num w:numId="5">
    <w:abstractNumId w:val="8"/>
  </w:num>
  <w:num w:numId="6">
    <w:abstractNumId w:val="15"/>
  </w:num>
  <w:num w:numId="7">
    <w:abstractNumId w:val="1"/>
  </w:num>
  <w:num w:numId="8">
    <w:abstractNumId w:val="11"/>
  </w:num>
  <w:num w:numId="9">
    <w:abstractNumId w:val="14"/>
  </w:num>
  <w:num w:numId="10">
    <w:abstractNumId w:val="3"/>
  </w:num>
  <w:num w:numId="11">
    <w:abstractNumId w:val="10"/>
  </w:num>
  <w:num w:numId="12">
    <w:abstractNumId w:val="4"/>
  </w:num>
  <w:num w:numId="13">
    <w:abstractNumId w:val="13"/>
  </w:num>
  <w:num w:numId="14">
    <w:abstractNumId w:val="16"/>
  </w:num>
  <w:num w:numId="15">
    <w:abstractNumId w:val="12"/>
  </w:num>
  <w:num w:numId="16">
    <w:abstractNumId w:val="2"/>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3258"/>
    <w:rsid w:val="000575A4"/>
    <w:rsid w:val="00057E00"/>
    <w:rsid w:val="000627A5"/>
    <w:rsid w:val="00064DC1"/>
    <w:rsid w:val="0006572F"/>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00C5"/>
    <w:rsid w:val="000C19B4"/>
    <w:rsid w:val="000C3386"/>
    <w:rsid w:val="000C362B"/>
    <w:rsid w:val="000C377C"/>
    <w:rsid w:val="000C5339"/>
    <w:rsid w:val="000D1FB9"/>
    <w:rsid w:val="000D2249"/>
    <w:rsid w:val="000D7088"/>
    <w:rsid w:val="000D759E"/>
    <w:rsid w:val="000E1AB3"/>
    <w:rsid w:val="000E342C"/>
    <w:rsid w:val="000E45E6"/>
    <w:rsid w:val="0010114F"/>
    <w:rsid w:val="001019F6"/>
    <w:rsid w:val="00103144"/>
    <w:rsid w:val="00105E8F"/>
    <w:rsid w:val="0010687A"/>
    <w:rsid w:val="00112CF4"/>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3E1E"/>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27D7"/>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86B05"/>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C4900"/>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0F96"/>
    <w:rsid w:val="0087157E"/>
    <w:rsid w:val="0087388A"/>
    <w:rsid w:val="00874DE5"/>
    <w:rsid w:val="00877253"/>
    <w:rsid w:val="0088066A"/>
    <w:rsid w:val="00890D0E"/>
    <w:rsid w:val="00892202"/>
    <w:rsid w:val="00892489"/>
    <w:rsid w:val="008939E8"/>
    <w:rsid w:val="008947ED"/>
    <w:rsid w:val="00896A1F"/>
    <w:rsid w:val="008A0D73"/>
    <w:rsid w:val="008A2CF0"/>
    <w:rsid w:val="008B2916"/>
    <w:rsid w:val="008B420A"/>
    <w:rsid w:val="008B514E"/>
    <w:rsid w:val="008C35C4"/>
    <w:rsid w:val="008C75F1"/>
    <w:rsid w:val="008D2717"/>
    <w:rsid w:val="008D33F4"/>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0CDA"/>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2EB1"/>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16E26"/>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4E14"/>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E1D9C"/>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3D6"/>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36474"/>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974D9"/>
    <w:rsid w:val="00DA12A0"/>
    <w:rsid w:val="00DA2E27"/>
    <w:rsid w:val="00DA3E17"/>
    <w:rsid w:val="00DA49C8"/>
    <w:rsid w:val="00DA7C83"/>
    <w:rsid w:val="00DB0046"/>
    <w:rsid w:val="00DB0EB3"/>
    <w:rsid w:val="00DB2B94"/>
    <w:rsid w:val="00DB2F05"/>
    <w:rsid w:val="00DB6DEA"/>
    <w:rsid w:val="00DC27AC"/>
    <w:rsid w:val="00DC675B"/>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25583"/>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00F8"/>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2E0"/>
    <w:rsid w:val="00ED05AF"/>
    <w:rsid w:val="00ED5619"/>
    <w:rsid w:val="00ED63B9"/>
    <w:rsid w:val="00EF2182"/>
    <w:rsid w:val="00EF37AD"/>
    <w:rsid w:val="00EF463F"/>
    <w:rsid w:val="00EF59E8"/>
    <w:rsid w:val="00EF68A1"/>
    <w:rsid w:val="00EF68E4"/>
    <w:rsid w:val="00F03934"/>
    <w:rsid w:val="00F03B6B"/>
    <w:rsid w:val="00F04A05"/>
    <w:rsid w:val="00F11726"/>
    <w:rsid w:val="00F1235B"/>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515AC-7556-46B7-A2FB-F618DDCF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9403</Words>
  <Characters>53603</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62881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Windows User</cp:lastModifiedBy>
  <cp:revision>27</cp:revision>
  <cp:lastPrinted>2007-05-16T03:26:00Z</cp:lastPrinted>
  <dcterms:created xsi:type="dcterms:W3CDTF">2024-02-26T10:03:00Z</dcterms:created>
  <dcterms:modified xsi:type="dcterms:W3CDTF">2026-01-31T15:16:00Z</dcterms:modified>
</cp:coreProperties>
</file>