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CB565" w14:textId="7071150F" w:rsidR="004B4A65" w:rsidRDefault="004B4A65" w:rsidP="001D0E59">
      <w:pPr>
        <w:bidi/>
        <w:spacing w:after="0" w:line="240" w:lineRule="auto"/>
        <w:jc w:val="lowKashida"/>
        <w:outlineLvl w:val="0"/>
        <w:rPr>
          <w:rFonts w:cs="B Nazanin" w:hint="cs"/>
          <w:b/>
          <w:bCs/>
          <w:sz w:val="32"/>
          <w:szCs w:val="32"/>
          <w:rtl/>
          <w:lang w:bidi="fa-IR"/>
        </w:rPr>
      </w:pPr>
    </w:p>
    <w:p w14:paraId="2AC1D32A" w14:textId="0E851C08" w:rsidR="00AF1B2E" w:rsidRDefault="00AF1B2E" w:rsidP="001D0E59">
      <w:pPr>
        <w:bidi/>
        <w:spacing w:after="0" w:line="240" w:lineRule="auto"/>
        <w:jc w:val="lowKashida"/>
        <w:outlineLvl w:val="0"/>
        <w:rPr>
          <w:rFonts w:cs="B Nazanin"/>
          <w:b/>
          <w:bCs/>
          <w:sz w:val="32"/>
          <w:szCs w:val="32"/>
          <w:rtl/>
          <w:lang w:bidi="fa-IR"/>
        </w:rPr>
      </w:pPr>
      <w:r>
        <w:rPr>
          <w:rFonts w:cs="B Nazanin" w:hint="cs"/>
          <w:b/>
          <w:bCs/>
          <w:sz w:val="32"/>
          <w:szCs w:val="32"/>
          <w:rtl/>
          <w:lang w:bidi="fa-IR"/>
        </w:rPr>
        <w:t>مسئولیت روانپزشکان در تجویز داروی فلوکستین برای درمان افسردگی</w:t>
      </w:r>
    </w:p>
    <w:p w14:paraId="109B65DE" w14:textId="12809FE4" w:rsidR="00AF1B2E" w:rsidRDefault="006A2061" w:rsidP="006A2061">
      <w:pPr>
        <w:bidi/>
        <w:spacing w:after="0" w:line="240" w:lineRule="auto"/>
        <w:jc w:val="center"/>
        <w:outlineLvl w:val="0"/>
        <w:rPr>
          <w:rFonts w:cs="B Nazanin"/>
          <w:b/>
          <w:bCs/>
          <w:rtl/>
          <w:lang w:bidi="fa-IR"/>
        </w:rPr>
      </w:pPr>
      <w:r w:rsidRPr="006A2061">
        <w:rPr>
          <w:rFonts w:cs="B Nazanin" w:hint="cs"/>
          <w:b/>
          <w:bCs/>
          <w:rtl/>
          <w:lang w:bidi="fa-IR"/>
        </w:rPr>
        <w:t>یاشار</w:t>
      </w:r>
      <w:r>
        <w:rPr>
          <w:rFonts w:cs="B Nazanin" w:hint="cs"/>
          <w:b/>
          <w:bCs/>
          <w:rtl/>
          <w:lang w:bidi="fa-IR"/>
        </w:rPr>
        <w:t xml:space="preserve"> </w:t>
      </w:r>
      <w:r w:rsidRPr="006A2061">
        <w:rPr>
          <w:rFonts w:cs="B Nazanin" w:hint="cs"/>
          <w:b/>
          <w:bCs/>
          <w:rtl/>
          <w:lang w:bidi="fa-IR"/>
        </w:rPr>
        <w:t>رجائ</w:t>
      </w:r>
      <w:r>
        <w:rPr>
          <w:rFonts w:cs="B Nazanin" w:hint="cs"/>
          <w:b/>
          <w:bCs/>
          <w:rtl/>
          <w:lang w:bidi="fa-IR"/>
        </w:rPr>
        <w:t>ی</w:t>
      </w:r>
    </w:p>
    <w:p w14:paraId="0EF70D8D" w14:textId="56E5FC51" w:rsidR="006A2061" w:rsidRPr="006A2061" w:rsidRDefault="006A2061" w:rsidP="006A2061">
      <w:pPr>
        <w:bidi/>
        <w:spacing w:after="0" w:line="240" w:lineRule="auto"/>
        <w:jc w:val="center"/>
        <w:outlineLvl w:val="0"/>
        <w:rPr>
          <w:rFonts w:cs="B Nazanin"/>
          <w:sz w:val="22"/>
          <w:szCs w:val="22"/>
          <w:rtl/>
          <w:lang w:bidi="fa-IR"/>
        </w:rPr>
      </w:pPr>
      <w:r w:rsidRPr="006A2061">
        <w:rPr>
          <w:rFonts w:cs="B Nazanin" w:hint="cs"/>
          <w:sz w:val="22"/>
          <w:szCs w:val="22"/>
          <w:rtl/>
          <w:lang w:bidi="fa-IR"/>
        </w:rPr>
        <w:t>دانشجوی</w:t>
      </w:r>
      <w:r w:rsidRPr="006A2061">
        <w:rPr>
          <w:rFonts w:cs="B Nazanin"/>
          <w:sz w:val="22"/>
          <w:szCs w:val="22"/>
          <w:rtl/>
          <w:lang w:bidi="fa-IR"/>
        </w:rPr>
        <w:t xml:space="preserve"> </w:t>
      </w:r>
      <w:r w:rsidRPr="006A2061">
        <w:rPr>
          <w:rFonts w:cs="B Nazanin" w:hint="cs"/>
          <w:sz w:val="22"/>
          <w:szCs w:val="22"/>
          <w:rtl/>
          <w:lang w:bidi="fa-IR"/>
        </w:rPr>
        <w:t>کارشناسی</w:t>
      </w:r>
      <w:r w:rsidRPr="006A2061">
        <w:rPr>
          <w:rFonts w:cs="B Nazanin"/>
          <w:sz w:val="22"/>
          <w:szCs w:val="22"/>
          <w:rtl/>
          <w:lang w:bidi="fa-IR"/>
        </w:rPr>
        <w:t xml:space="preserve"> </w:t>
      </w:r>
      <w:r w:rsidRPr="006A2061">
        <w:rPr>
          <w:rFonts w:cs="B Nazanin" w:hint="cs"/>
          <w:sz w:val="22"/>
          <w:szCs w:val="22"/>
          <w:rtl/>
          <w:lang w:bidi="fa-IR"/>
        </w:rPr>
        <w:t>ارشد</w:t>
      </w:r>
      <w:r w:rsidRPr="006A2061">
        <w:rPr>
          <w:rFonts w:cs="B Nazanin"/>
          <w:sz w:val="22"/>
          <w:szCs w:val="22"/>
          <w:rtl/>
          <w:lang w:bidi="fa-IR"/>
        </w:rPr>
        <w:t xml:space="preserve"> </w:t>
      </w:r>
      <w:r w:rsidRPr="006A2061">
        <w:rPr>
          <w:rFonts w:cs="B Nazanin" w:hint="cs"/>
          <w:sz w:val="22"/>
          <w:szCs w:val="22"/>
          <w:rtl/>
          <w:lang w:bidi="fa-IR"/>
        </w:rPr>
        <w:t>حقوق</w:t>
      </w:r>
      <w:r w:rsidRPr="006A2061">
        <w:rPr>
          <w:rFonts w:cs="B Nazanin"/>
          <w:sz w:val="22"/>
          <w:szCs w:val="22"/>
          <w:rtl/>
          <w:lang w:bidi="fa-IR"/>
        </w:rPr>
        <w:t xml:space="preserve"> </w:t>
      </w:r>
      <w:r w:rsidRPr="006A2061">
        <w:rPr>
          <w:rFonts w:cs="B Nazanin" w:hint="cs"/>
          <w:sz w:val="22"/>
          <w:szCs w:val="22"/>
          <w:rtl/>
          <w:lang w:bidi="fa-IR"/>
        </w:rPr>
        <w:t>پزشکی</w:t>
      </w:r>
      <w:r w:rsidRPr="006A2061">
        <w:rPr>
          <w:rFonts w:cs="B Nazanin"/>
          <w:sz w:val="22"/>
          <w:szCs w:val="22"/>
          <w:rtl/>
          <w:lang w:bidi="fa-IR"/>
        </w:rPr>
        <w:t xml:space="preserve"> </w:t>
      </w:r>
      <w:r w:rsidRPr="006A2061">
        <w:rPr>
          <w:rFonts w:cs="B Nazanin" w:hint="cs"/>
          <w:sz w:val="22"/>
          <w:szCs w:val="22"/>
          <w:rtl/>
          <w:lang w:bidi="fa-IR"/>
        </w:rPr>
        <w:t>دانشگاه</w:t>
      </w:r>
      <w:r w:rsidRPr="006A2061">
        <w:rPr>
          <w:rFonts w:cs="B Nazanin"/>
          <w:sz w:val="22"/>
          <w:szCs w:val="22"/>
          <w:rtl/>
          <w:lang w:bidi="fa-IR"/>
        </w:rPr>
        <w:t xml:space="preserve"> </w:t>
      </w:r>
      <w:r w:rsidRPr="006A2061">
        <w:rPr>
          <w:rFonts w:cs="B Nazanin" w:hint="cs"/>
          <w:sz w:val="22"/>
          <w:szCs w:val="22"/>
          <w:rtl/>
          <w:lang w:bidi="fa-IR"/>
        </w:rPr>
        <w:t>آزاد</w:t>
      </w:r>
      <w:r w:rsidRPr="006A2061">
        <w:rPr>
          <w:rFonts w:cs="B Nazanin"/>
          <w:sz w:val="22"/>
          <w:szCs w:val="22"/>
          <w:rtl/>
          <w:lang w:bidi="fa-IR"/>
        </w:rPr>
        <w:t xml:space="preserve"> </w:t>
      </w:r>
      <w:r w:rsidRPr="006A2061">
        <w:rPr>
          <w:rFonts w:cs="B Nazanin" w:hint="cs"/>
          <w:sz w:val="22"/>
          <w:szCs w:val="22"/>
          <w:rtl/>
          <w:lang w:bidi="fa-IR"/>
        </w:rPr>
        <w:t>اس</w:t>
      </w:r>
      <w:r>
        <w:rPr>
          <w:rFonts w:cs="B Nazanin" w:hint="cs"/>
          <w:sz w:val="22"/>
          <w:szCs w:val="22"/>
          <w:rtl/>
          <w:lang w:bidi="fa-IR"/>
        </w:rPr>
        <w:t>لا</w:t>
      </w:r>
      <w:r w:rsidRPr="006A2061">
        <w:rPr>
          <w:rFonts w:cs="B Nazanin" w:hint="cs"/>
          <w:sz w:val="22"/>
          <w:szCs w:val="22"/>
          <w:rtl/>
          <w:lang w:bidi="fa-IR"/>
        </w:rPr>
        <w:t>می</w:t>
      </w:r>
      <w:r w:rsidRPr="006A2061">
        <w:rPr>
          <w:rFonts w:cs="B Nazanin"/>
          <w:sz w:val="22"/>
          <w:szCs w:val="22"/>
          <w:rtl/>
          <w:lang w:bidi="fa-IR"/>
        </w:rPr>
        <w:t xml:space="preserve"> </w:t>
      </w:r>
      <w:r w:rsidRPr="006A2061">
        <w:rPr>
          <w:rFonts w:cs="B Nazanin" w:hint="cs"/>
          <w:sz w:val="22"/>
          <w:szCs w:val="22"/>
          <w:rtl/>
          <w:lang w:bidi="fa-IR"/>
        </w:rPr>
        <w:t>واحد</w:t>
      </w:r>
      <w:r w:rsidRPr="006A2061">
        <w:rPr>
          <w:rFonts w:cs="B Nazanin"/>
          <w:sz w:val="22"/>
          <w:szCs w:val="22"/>
          <w:rtl/>
          <w:lang w:bidi="fa-IR"/>
        </w:rPr>
        <w:t xml:space="preserve"> </w:t>
      </w:r>
      <w:r w:rsidRPr="006A2061">
        <w:rPr>
          <w:rFonts w:cs="B Nazanin" w:hint="cs"/>
          <w:sz w:val="22"/>
          <w:szCs w:val="22"/>
          <w:rtl/>
          <w:lang w:bidi="fa-IR"/>
        </w:rPr>
        <w:t>علوم</w:t>
      </w:r>
      <w:r w:rsidRPr="006A2061">
        <w:rPr>
          <w:rFonts w:cs="B Nazanin"/>
          <w:sz w:val="22"/>
          <w:szCs w:val="22"/>
          <w:rtl/>
          <w:lang w:bidi="fa-IR"/>
        </w:rPr>
        <w:t xml:space="preserve"> </w:t>
      </w:r>
      <w:r w:rsidRPr="006A2061">
        <w:rPr>
          <w:rFonts w:cs="B Nazanin" w:hint="cs"/>
          <w:sz w:val="22"/>
          <w:szCs w:val="22"/>
          <w:rtl/>
          <w:lang w:bidi="fa-IR"/>
        </w:rPr>
        <w:t>پزشکی</w:t>
      </w:r>
      <w:r w:rsidRPr="006A2061">
        <w:rPr>
          <w:rFonts w:cs="B Nazanin"/>
          <w:sz w:val="22"/>
          <w:szCs w:val="22"/>
          <w:rtl/>
          <w:lang w:bidi="fa-IR"/>
        </w:rPr>
        <w:t xml:space="preserve"> </w:t>
      </w:r>
      <w:r w:rsidRPr="006A2061">
        <w:rPr>
          <w:rFonts w:cs="B Nazanin" w:hint="cs"/>
          <w:sz w:val="22"/>
          <w:szCs w:val="22"/>
          <w:rtl/>
          <w:lang w:bidi="fa-IR"/>
        </w:rPr>
        <w:t>تهران،</w:t>
      </w:r>
      <w:r w:rsidRPr="006A2061">
        <w:rPr>
          <w:rFonts w:cs="B Nazanin"/>
          <w:sz w:val="22"/>
          <w:szCs w:val="22"/>
          <w:rtl/>
          <w:lang w:bidi="fa-IR"/>
        </w:rPr>
        <w:t xml:space="preserve"> </w:t>
      </w:r>
      <w:r w:rsidRPr="006A2061">
        <w:rPr>
          <w:rFonts w:cs="B Nazanin" w:hint="cs"/>
          <w:sz w:val="22"/>
          <w:szCs w:val="22"/>
          <w:rtl/>
          <w:lang w:bidi="fa-IR"/>
        </w:rPr>
        <w:t>ایران</w:t>
      </w:r>
    </w:p>
    <w:p w14:paraId="564A7D5E" w14:textId="22974E9E" w:rsidR="006A2061" w:rsidRDefault="006A2061" w:rsidP="006A2061">
      <w:pPr>
        <w:bidi/>
        <w:spacing w:after="0" w:line="240" w:lineRule="auto"/>
        <w:jc w:val="center"/>
        <w:outlineLvl w:val="0"/>
        <w:rPr>
          <w:rFonts w:cs="B Nazanin"/>
          <w:b/>
          <w:bCs/>
          <w:rtl/>
          <w:lang w:bidi="fa-IR"/>
        </w:rPr>
      </w:pPr>
      <w:r>
        <w:rPr>
          <w:rFonts w:cs="B Nazanin" w:hint="cs"/>
          <w:b/>
          <w:bCs/>
          <w:rtl/>
          <w:lang w:bidi="fa-IR"/>
        </w:rPr>
        <w:t>سید علی جعفری</w:t>
      </w:r>
    </w:p>
    <w:p w14:paraId="4C32B4F8" w14:textId="77777777" w:rsidR="006A2061" w:rsidRPr="006A2061" w:rsidRDefault="006A2061" w:rsidP="006A2061">
      <w:pPr>
        <w:bidi/>
        <w:spacing w:after="0" w:line="240" w:lineRule="auto"/>
        <w:jc w:val="center"/>
        <w:outlineLvl w:val="0"/>
        <w:rPr>
          <w:rFonts w:cs="B Nazanin"/>
          <w:sz w:val="22"/>
          <w:szCs w:val="22"/>
          <w:rtl/>
          <w:lang w:bidi="fa-IR"/>
        </w:rPr>
      </w:pPr>
      <w:r w:rsidRPr="006A2061">
        <w:rPr>
          <w:rFonts w:cs="B Nazanin" w:hint="cs"/>
          <w:sz w:val="22"/>
          <w:szCs w:val="22"/>
          <w:rtl/>
          <w:lang w:bidi="fa-IR"/>
        </w:rPr>
        <w:t>دانشجوی</w:t>
      </w:r>
      <w:r w:rsidRPr="006A2061">
        <w:rPr>
          <w:rFonts w:cs="B Nazanin"/>
          <w:sz w:val="22"/>
          <w:szCs w:val="22"/>
          <w:rtl/>
          <w:lang w:bidi="fa-IR"/>
        </w:rPr>
        <w:t xml:space="preserve"> </w:t>
      </w:r>
      <w:r w:rsidRPr="006A2061">
        <w:rPr>
          <w:rFonts w:cs="B Nazanin" w:hint="cs"/>
          <w:sz w:val="22"/>
          <w:szCs w:val="22"/>
          <w:rtl/>
          <w:lang w:bidi="fa-IR"/>
        </w:rPr>
        <w:t>کارشناسی</w:t>
      </w:r>
      <w:r w:rsidRPr="006A2061">
        <w:rPr>
          <w:rFonts w:cs="B Nazanin"/>
          <w:sz w:val="22"/>
          <w:szCs w:val="22"/>
          <w:rtl/>
          <w:lang w:bidi="fa-IR"/>
        </w:rPr>
        <w:t xml:space="preserve"> </w:t>
      </w:r>
      <w:r w:rsidRPr="006A2061">
        <w:rPr>
          <w:rFonts w:cs="B Nazanin" w:hint="cs"/>
          <w:sz w:val="22"/>
          <w:szCs w:val="22"/>
          <w:rtl/>
          <w:lang w:bidi="fa-IR"/>
        </w:rPr>
        <w:t>ارشد</w:t>
      </w:r>
      <w:r w:rsidRPr="006A2061">
        <w:rPr>
          <w:rFonts w:cs="B Nazanin"/>
          <w:sz w:val="22"/>
          <w:szCs w:val="22"/>
          <w:rtl/>
          <w:lang w:bidi="fa-IR"/>
        </w:rPr>
        <w:t xml:space="preserve"> </w:t>
      </w:r>
      <w:r w:rsidRPr="006A2061">
        <w:rPr>
          <w:rFonts w:cs="B Nazanin" w:hint="cs"/>
          <w:sz w:val="22"/>
          <w:szCs w:val="22"/>
          <w:rtl/>
          <w:lang w:bidi="fa-IR"/>
        </w:rPr>
        <w:t>حقوق</w:t>
      </w:r>
      <w:r w:rsidRPr="006A2061">
        <w:rPr>
          <w:rFonts w:cs="B Nazanin"/>
          <w:sz w:val="22"/>
          <w:szCs w:val="22"/>
          <w:rtl/>
          <w:lang w:bidi="fa-IR"/>
        </w:rPr>
        <w:t xml:space="preserve"> </w:t>
      </w:r>
      <w:r w:rsidRPr="006A2061">
        <w:rPr>
          <w:rFonts w:cs="B Nazanin" w:hint="cs"/>
          <w:sz w:val="22"/>
          <w:szCs w:val="22"/>
          <w:rtl/>
          <w:lang w:bidi="fa-IR"/>
        </w:rPr>
        <w:t>پزشکی</w:t>
      </w:r>
      <w:r w:rsidRPr="006A2061">
        <w:rPr>
          <w:rFonts w:cs="B Nazanin"/>
          <w:sz w:val="22"/>
          <w:szCs w:val="22"/>
          <w:rtl/>
          <w:lang w:bidi="fa-IR"/>
        </w:rPr>
        <w:t xml:space="preserve"> </w:t>
      </w:r>
      <w:r w:rsidRPr="006A2061">
        <w:rPr>
          <w:rFonts w:cs="B Nazanin" w:hint="cs"/>
          <w:sz w:val="22"/>
          <w:szCs w:val="22"/>
          <w:rtl/>
          <w:lang w:bidi="fa-IR"/>
        </w:rPr>
        <w:t>دانشگاه</w:t>
      </w:r>
      <w:r w:rsidRPr="006A2061">
        <w:rPr>
          <w:rFonts w:cs="B Nazanin"/>
          <w:sz w:val="22"/>
          <w:szCs w:val="22"/>
          <w:rtl/>
          <w:lang w:bidi="fa-IR"/>
        </w:rPr>
        <w:t xml:space="preserve"> </w:t>
      </w:r>
      <w:r w:rsidRPr="006A2061">
        <w:rPr>
          <w:rFonts w:cs="B Nazanin" w:hint="cs"/>
          <w:sz w:val="22"/>
          <w:szCs w:val="22"/>
          <w:rtl/>
          <w:lang w:bidi="fa-IR"/>
        </w:rPr>
        <w:t>آزاد</w:t>
      </w:r>
      <w:r w:rsidRPr="006A2061">
        <w:rPr>
          <w:rFonts w:cs="B Nazanin"/>
          <w:sz w:val="22"/>
          <w:szCs w:val="22"/>
          <w:rtl/>
          <w:lang w:bidi="fa-IR"/>
        </w:rPr>
        <w:t xml:space="preserve"> </w:t>
      </w:r>
      <w:r w:rsidRPr="006A2061">
        <w:rPr>
          <w:rFonts w:cs="B Nazanin" w:hint="cs"/>
          <w:sz w:val="22"/>
          <w:szCs w:val="22"/>
          <w:rtl/>
          <w:lang w:bidi="fa-IR"/>
        </w:rPr>
        <w:t>اس</w:t>
      </w:r>
      <w:r>
        <w:rPr>
          <w:rFonts w:cs="B Nazanin" w:hint="cs"/>
          <w:sz w:val="22"/>
          <w:szCs w:val="22"/>
          <w:rtl/>
          <w:lang w:bidi="fa-IR"/>
        </w:rPr>
        <w:t>لا</w:t>
      </w:r>
      <w:r w:rsidRPr="006A2061">
        <w:rPr>
          <w:rFonts w:cs="B Nazanin" w:hint="cs"/>
          <w:sz w:val="22"/>
          <w:szCs w:val="22"/>
          <w:rtl/>
          <w:lang w:bidi="fa-IR"/>
        </w:rPr>
        <w:t>می</w:t>
      </w:r>
      <w:r w:rsidRPr="006A2061">
        <w:rPr>
          <w:rFonts w:cs="B Nazanin"/>
          <w:sz w:val="22"/>
          <w:szCs w:val="22"/>
          <w:rtl/>
          <w:lang w:bidi="fa-IR"/>
        </w:rPr>
        <w:t xml:space="preserve"> </w:t>
      </w:r>
      <w:r w:rsidRPr="006A2061">
        <w:rPr>
          <w:rFonts w:cs="B Nazanin" w:hint="cs"/>
          <w:sz w:val="22"/>
          <w:szCs w:val="22"/>
          <w:rtl/>
          <w:lang w:bidi="fa-IR"/>
        </w:rPr>
        <w:t>واحد</w:t>
      </w:r>
      <w:r w:rsidRPr="006A2061">
        <w:rPr>
          <w:rFonts w:cs="B Nazanin"/>
          <w:sz w:val="22"/>
          <w:szCs w:val="22"/>
          <w:rtl/>
          <w:lang w:bidi="fa-IR"/>
        </w:rPr>
        <w:t xml:space="preserve"> </w:t>
      </w:r>
      <w:r w:rsidRPr="006A2061">
        <w:rPr>
          <w:rFonts w:cs="B Nazanin" w:hint="cs"/>
          <w:sz w:val="22"/>
          <w:szCs w:val="22"/>
          <w:rtl/>
          <w:lang w:bidi="fa-IR"/>
        </w:rPr>
        <w:t>علوم</w:t>
      </w:r>
      <w:r w:rsidRPr="006A2061">
        <w:rPr>
          <w:rFonts w:cs="B Nazanin"/>
          <w:sz w:val="22"/>
          <w:szCs w:val="22"/>
          <w:rtl/>
          <w:lang w:bidi="fa-IR"/>
        </w:rPr>
        <w:t xml:space="preserve"> </w:t>
      </w:r>
      <w:r w:rsidRPr="006A2061">
        <w:rPr>
          <w:rFonts w:cs="B Nazanin" w:hint="cs"/>
          <w:sz w:val="22"/>
          <w:szCs w:val="22"/>
          <w:rtl/>
          <w:lang w:bidi="fa-IR"/>
        </w:rPr>
        <w:t>پزشکی</w:t>
      </w:r>
      <w:r w:rsidRPr="006A2061">
        <w:rPr>
          <w:rFonts w:cs="B Nazanin"/>
          <w:sz w:val="22"/>
          <w:szCs w:val="22"/>
          <w:rtl/>
          <w:lang w:bidi="fa-IR"/>
        </w:rPr>
        <w:t xml:space="preserve"> </w:t>
      </w:r>
      <w:r w:rsidRPr="006A2061">
        <w:rPr>
          <w:rFonts w:cs="B Nazanin" w:hint="cs"/>
          <w:sz w:val="22"/>
          <w:szCs w:val="22"/>
          <w:rtl/>
          <w:lang w:bidi="fa-IR"/>
        </w:rPr>
        <w:t>تهران،</w:t>
      </w:r>
      <w:r w:rsidRPr="006A2061">
        <w:rPr>
          <w:rFonts w:cs="B Nazanin"/>
          <w:sz w:val="22"/>
          <w:szCs w:val="22"/>
          <w:rtl/>
          <w:lang w:bidi="fa-IR"/>
        </w:rPr>
        <w:t xml:space="preserve"> </w:t>
      </w:r>
      <w:r w:rsidRPr="006A2061">
        <w:rPr>
          <w:rFonts w:cs="B Nazanin" w:hint="cs"/>
          <w:sz w:val="22"/>
          <w:szCs w:val="22"/>
          <w:rtl/>
          <w:lang w:bidi="fa-IR"/>
        </w:rPr>
        <w:t>ایران</w:t>
      </w:r>
    </w:p>
    <w:p w14:paraId="0D95D55F" w14:textId="0743B09B" w:rsidR="006A2061" w:rsidRPr="006A2061" w:rsidRDefault="006A2061" w:rsidP="006A2061">
      <w:pPr>
        <w:bidi/>
        <w:spacing w:after="0" w:line="240" w:lineRule="auto"/>
        <w:jc w:val="center"/>
        <w:outlineLvl w:val="0"/>
        <w:rPr>
          <w:rFonts w:cs="B Nazanin"/>
          <w:b/>
          <w:bCs/>
          <w:rtl/>
          <w:lang w:bidi="fa-IR"/>
        </w:rPr>
      </w:pPr>
      <w:r>
        <w:rPr>
          <w:rFonts w:cs="B Nazanin" w:hint="cs"/>
          <w:b/>
          <w:bCs/>
          <w:rtl/>
          <w:lang w:bidi="fa-IR"/>
        </w:rPr>
        <w:t>آیدا سید نورمند هیق</w:t>
      </w:r>
    </w:p>
    <w:p w14:paraId="63CFE22E" w14:textId="1499C45B" w:rsidR="001F1083" w:rsidRPr="006A2061" w:rsidRDefault="006A2061" w:rsidP="006A2061">
      <w:pPr>
        <w:bidi/>
        <w:spacing w:after="0" w:line="240" w:lineRule="auto"/>
        <w:jc w:val="center"/>
        <w:outlineLvl w:val="0"/>
        <w:rPr>
          <w:rFonts w:cs="B Nazanin"/>
          <w:sz w:val="22"/>
          <w:szCs w:val="22"/>
          <w:rtl/>
          <w:lang w:bidi="fa-IR"/>
        </w:rPr>
      </w:pPr>
      <w:r w:rsidRPr="006A2061">
        <w:rPr>
          <w:rFonts w:cs="B Nazanin"/>
          <w:sz w:val="22"/>
          <w:szCs w:val="22"/>
          <w:rtl/>
          <w:lang w:bidi="fa-IR"/>
        </w:rPr>
        <w:t>دانشجوی دکترا بیوشیمی واحد علوم وتحقیقات تهران،دانشگاه ازاد اسلامی تهران،ایران</w:t>
      </w:r>
    </w:p>
    <w:p w14:paraId="3D80761B" w14:textId="77777777" w:rsidR="001F1083" w:rsidRDefault="001F1083" w:rsidP="001D0E59">
      <w:pPr>
        <w:bidi/>
        <w:spacing w:after="0" w:line="240" w:lineRule="auto"/>
        <w:jc w:val="lowKashida"/>
        <w:outlineLvl w:val="0"/>
        <w:rPr>
          <w:rFonts w:cs="B Nazanin"/>
          <w:b/>
          <w:bCs/>
          <w:sz w:val="32"/>
          <w:szCs w:val="32"/>
          <w:rtl/>
          <w:lang w:bidi="fa-IR"/>
        </w:rPr>
      </w:pPr>
    </w:p>
    <w:p w14:paraId="1A7B112F" w14:textId="4E3FE74A" w:rsidR="00CF32C2" w:rsidRPr="001F1083" w:rsidRDefault="00CF32C2" w:rsidP="001D0E59">
      <w:pPr>
        <w:bidi/>
        <w:spacing w:after="0" w:line="240" w:lineRule="auto"/>
        <w:jc w:val="lowKashida"/>
        <w:outlineLvl w:val="0"/>
        <w:rPr>
          <w:rFonts w:cs="B Nazanin"/>
          <w:b/>
          <w:bCs/>
          <w:rtl/>
          <w:lang w:bidi="fa-IR"/>
        </w:rPr>
      </w:pPr>
      <w:r w:rsidRPr="001F1083">
        <w:rPr>
          <w:rFonts w:cs="B Nazanin" w:hint="cs"/>
          <w:b/>
          <w:bCs/>
          <w:rtl/>
          <w:lang w:bidi="fa-IR"/>
        </w:rPr>
        <w:t>چکیده</w:t>
      </w:r>
    </w:p>
    <w:p w14:paraId="7EBF0882" w14:textId="77777777" w:rsidR="001F1083" w:rsidRDefault="00CF32C2" w:rsidP="001D0E59">
      <w:pPr>
        <w:bidi/>
        <w:spacing w:after="0" w:line="240" w:lineRule="auto"/>
        <w:jc w:val="lowKashida"/>
        <w:outlineLvl w:val="0"/>
        <w:rPr>
          <w:rFonts w:cs="B Nazanin"/>
          <w:rtl/>
          <w:lang w:bidi="fa-IR"/>
        </w:rPr>
      </w:pPr>
      <w:r w:rsidRPr="001F1083">
        <w:rPr>
          <w:rFonts w:cs="B Nazanin" w:hint="cs"/>
          <w:rtl/>
          <w:lang w:bidi="fa-IR"/>
        </w:rPr>
        <w:t xml:space="preserve">حقوق قصد ندارد آنگونه که خداوند به انسان ها می نگرد به آنها نگاه کند،فلوکستین به عنوان یک داروی رایج در درمان افسردگی </w:t>
      </w:r>
    </w:p>
    <w:p w14:paraId="4BDDB278" w14:textId="7121CEAA" w:rsidR="001F1083" w:rsidRDefault="00CF32C2" w:rsidP="001D0E59">
      <w:pPr>
        <w:bidi/>
        <w:spacing w:after="0" w:line="240" w:lineRule="auto"/>
        <w:jc w:val="lowKashida"/>
        <w:outlineLvl w:val="0"/>
        <w:rPr>
          <w:rFonts w:cs="B Nazanin"/>
          <w:rtl/>
          <w:lang w:bidi="fa-IR"/>
        </w:rPr>
      </w:pPr>
      <w:r w:rsidRPr="001F1083">
        <w:rPr>
          <w:rFonts w:cs="B Nazanin" w:hint="cs"/>
          <w:rtl/>
          <w:lang w:bidi="fa-IR"/>
        </w:rPr>
        <w:t>شناخت</w:t>
      </w:r>
      <w:r w:rsidR="00921B33">
        <w:rPr>
          <w:rFonts w:cs="B Nazanin" w:hint="cs"/>
          <w:rtl/>
          <w:lang w:bidi="fa-IR"/>
        </w:rPr>
        <w:t xml:space="preserve">ه </w:t>
      </w:r>
      <w:r w:rsidRPr="001F1083">
        <w:rPr>
          <w:rFonts w:cs="B Nazanin" w:hint="cs"/>
          <w:rtl/>
          <w:lang w:bidi="fa-IR"/>
        </w:rPr>
        <w:t>می شود که تجویز آن باید براساس شرایط بیمار باشد.</w:t>
      </w:r>
      <w:r w:rsidR="007D448B">
        <w:rPr>
          <w:rFonts w:cs="B Nazanin" w:hint="cs"/>
          <w:rtl/>
          <w:lang w:bidi="fa-IR"/>
        </w:rPr>
        <w:t xml:space="preserve"> </w:t>
      </w:r>
      <w:r w:rsidRPr="001F1083">
        <w:rPr>
          <w:rFonts w:cs="B Nazanin" w:hint="cs"/>
          <w:rtl/>
          <w:lang w:bidi="fa-IR"/>
        </w:rPr>
        <w:t>پزشک باید شرایط خاص بیمار را اعم از سن،</w:t>
      </w:r>
      <w:r w:rsidR="007D448B">
        <w:rPr>
          <w:rFonts w:cs="B Nazanin" w:hint="cs"/>
          <w:rtl/>
          <w:lang w:bidi="fa-IR"/>
        </w:rPr>
        <w:t xml:space="preserve"> </w:t>
      </w:r>
      <w:r w:rsidRPr="001F1083">
        <w:rPr>
          <w:rFonts w:cs="B Nazanin" w:hint="cs"/>
          <w:rtl/>
          <w:lang w:bidi="fa-IR"/>
        </w:rPr>
        <w:t xml:space="preserve">نوع افسردگی و شرایط </w:t>
      </w:r>
    </w:p>
    <w:p w14:paraId="2C8F268E" w14:textId="6F578461" w:rsidR="001F1083" w:rsidRDefault="00CF32C2" w:rsidP="007D448B">
      <w:pPr>
        <w:bidi/>
        <w:spacing w:after="0" w:line="240" w:lineRule="auto"/>
        <w:jc w:val="lowKashida"/>
        <w:outlineLvl w:val="0"/>
        <w:rPr>
          <w:rFonts w:cs="B Nazanin"/>
          <w:rtl/>
          <w:lang w:bidi="fa-IR"/>
        </w:rPr>
      </w:pPr>
      <w:r w:rsidRPr="001F1083">
        <w:rPr>
          <w:rFonts w:cs="B Nazanin" w:hint="cs"/>
          <w:rtl/>
          <w:lang w:bidi="fa-IR"/>
        </w:rPr>
        <w:t>جسمی</w:t>
      </w:r>
      <w:r w:rsidR="007D448B">
        <w:rPr>
          <w:rFonts w:cs="B Nazanin" w:hint="cs"/>
          <w:rtl/>
          <w:lang w:bidi="fa-IR"/>
        </w:rPr>
        <w:t xml:space="preserve"> بیمار را</w:t>
      </w:r>
      <w:r w:rsidRPr="001F1083">
        <w:rPr>
          <w:rFonts w:cs="B Nazanin" w:hint="cs"/>
          <w:rtl/>
          <w:lang w:bidi="fa-IR"/>
        </w:rPr>
        <w:t xml:space="preserve"> در نظر بگیرد.</w:t>
      </w:r>
      <w:r w:rsidR="007D448B">
        <w:rPr>
          <w:rFonts w:cs="B Nazanin" w:hint="cs"/>
          <w:rtl/>
          <w:lang w:bidi="fa-IR"/>
        </w:rPr>
        <w:t xml:space="preserve"> </w:t>
      </w:r>
      <w:r w:rsidRPr="001F1083">
        <w:rPr>
          <w:rFonts w:cs="B Nazanin" w:hint="cs"/>
          <w:rtl/>
          <w:lang w:bidi="fa-IR"/>
        </w:rPr>
        <w:t xml:space="preserve">عدم در نظر گرفتن هریک از این موارد می تواند موجب مسئولیت پزشک شود هرچند که به صورت خاص مسئولیت پزشک در قوانین ایران نعیین نشده است و ما براساس کلیات </w:t>
      </w:r>
      <w:r w:rsidR="00AF1B2E" w:rsidRPr="001F1083">
        <w:rPr>
          <w:rFonts w:cs="B Nazanin" w:hint="cs"/>
          <w:rtl/>
          <w:lang w:bidi="fa-IR"/>
        </w:rPr>
        <w:t>چهارچوب تعریف مسئولیت دست به تفسیر از آن زده ایم و</w:t>
      </w:r>
      <w:r w:rsidR="007D448B">
        <w:rPr>
          <w:rFonts w:cs="B Nazanin" w:hint="cs"/>
          <w:rtl/>
          <w:lang w:bidi="fa-IR"/>
        </w:rPr>
        <w:t xml:space="preserve"> </w:t>
      </w:r>
      <w:r w:rsidR="00AF1B2E" w:rsidRPr="001F1083">
        <w:rPr>
          <w:rFonts w:cs="B Nazanin" w:hint="cs"/>
          <w:rtl/>
          <w:lang w:bidi="fa-IR"/>
        </w:rPr>
        <w:t xml:space="preserve">در جایی که قانون مقصود ساکت بوده است و یا به آن پرداخته نشده است سعی شده است </w:t>
      </w:r>
      <w:r w:rsidR="007D448B">
        <w:rPr>
          <w:rFonts w:cs="B Nazanin" w:hint="cs"/>
          <w:rtl/>
          <w:lang w:bidi="fa-IR"/>
        </w:rPr>
        <w:t>به</w:t>
      </w:r>
      <w:r w:rsidR="00AF1B2E" w:rsidRPr="001F1083">
        <w:rPr>
          <w:rFonts w:cs="B Nazanin" w:hint="cs"/>
          <w:rtl/>
          <w:lang w:bidi="fa-IR"/>
        </w:rPr>
        <w:t xml:space="preserve"> نظام های حقوقی مختلفی برای دریافتن حکم مسئله رجوع شود اما معیار اصلی تقصیر نوعی بوده که براساس استاندارد های مراقبتی تعیین می شود و تخطی از آنها موجب مسئولیت پزشک است و</w:t>
      </w:r>
      <w:r w:rsidR="007D448B">
        <w:rPr>
          <w:rFonts w:cs="B Nazanin" w:hint="cs"/>
          <w:rtl/>
          <w:lang w:bidi="fa-IR"/>
        </w:rPr>
        <w:t xml:space="preserve"> </w:t>
      </w:r>
      <w:r w:rsidR="00AF1B2E" w:rsidRPr="001F1083">
        <w:rPr>
          <w:rFonts w:cs="B Nazanin" w:hint="cs"/>
          <w:rtl/>
          <w:lang w:bidi="fa-IR"/>
        </w:rPr>
        <w:t>همچنین بحث رضایت آگاهانه در این امور دارای اهمیت بسیار</w:t>
      </w:r>
      <w:r w:rsidR="007D448B">
        <w:rPr>
          <w:rFonts w:cs="B Nazanin" w:hint="cs"/>
          <w:rtl/>
          <w:lang w:bidi="fa-IR"/>
        </w:rPr>
        <w:t xml:space="preserve">ی </w:t>
      </w:r>
      <w:r w:rsidR="00AF1B2E" w:rsidRPr="001F1083">
        <w:rPr>
          <w:rFonts w:cs="B Nazanin" w:hint="cs"/>
          <w:rtl/>
          <w:lang w:bidi="fa-IR"/>
        </w:rPr>
        <w:t xml:space="preserve">است زیرا اگر بیمار رضایت </w:t>
      </w:r>
    </w:p>
    <w:p w14:paraId="47055611" w14:textId="5B055FCD" w:rsidR="00CF32C2" w:rsidRPr="001F1083" w:rsidRDefault="00AF1B2E" w:rsidP="007D448B">
      <w:pPr>
        <w:bidi/>
        <w:spacing w:after="0" w:line="240" w:lineRule="auto"/>
        <w:jc w:val="lowKashida"/>
        <w:outlineLvl w:val="0"/>
        <w:rPr>
          <w:rFonts w:cs="B Nazanin"/>
          <w:lang w:bidi="fa-IR"/>
        </w:rPr>
      </w:pPr>
      <w:r w:rsidRPr="001F1083">
        <w:rPr>
          <w:rFonts w:cs="B Nazanin" w:hint="cs"/>
          <w:rtl/>
          <w:lang w:bidi="fa-IR"/>
        </w:rPr>
        <w:t>آگاهانه را نداشته باش</w:t>
      </w:r>
      <w:r w:rsidR="007D448B">
        <w:rPr>
          <w:rFonts w:cs="B Nazanin" w:hint="cs"/>
          <w:rtl/>
          <w:lang w:bidi="fa-IR"/>
        </w:rPr>
        <w:t>د</w:t>
      </w:r>
      <w:r w:rsidRPr="001F1083">
        <w:rPr>
          <w:rFonts w:cs="B Nazanin" w:hint="cs"/>
          <w:rtl/>
          <w:lang w:bidi="fa-IR"/>
        </w:rPr>
        <w:t>،</w:t>
      </w:r>
      <w:r w:rsidR="007D448B">
        <w:rPr>
          <w:rFonts w:cs="B Nazanin" w:hint="cs"/>
          <w:rtl/>
          <w:lang w:bidi="fa-IR"/>
        </w:rPr>
        <w:t xml:space="preserve"> </w:t>
      </w:r>
      <w:r w:rsidRPr="001F1083">
        <w:rPr>
          <w:rFonts w:cs="B Nazanin" w:hint="cs"/>
          <w:rtl/>
          <w:lang w:bidi="fa-IR"/>
        </w:rPr>
        <w:t>هرگونه عمل درمانی برای پزشک مسئولیت ایجاد می کند که در مورد ما بحث اطلاع بیمار از عوارض دارو از</w:t>
      </w:r>
      <w:r w:rsidR="007D448B">
        <w:rPr>
          <w:rFonts w:cs="B Nazanin" w:hint="cs"/>
          <w:rtl/>
          <w:lang w:bidi="fa-IR"/>
        </w:rPr>
        <w:t xml:space="preserve"> </w:t>
      </w:r>
      <w:r w:rsidRPr="001F1083">
        <w:rPr>
          <w:rFonts w:cs="B Nazanin" w:hint="cs"/>
          <w:rtl/>
          <w:lang w:bidi="fa-IR"/>
        </w:rPr>
        <w:t>ارکان سازنده رضایت آگاهانه است.</w:t>
      </w:r>
    </w:p>
    <w:p w14:paraId="5B8D2E7F" w14:textId="77777777" w:rsidR="00C23CF4" w:rsidRDefault="00C23CF4" w:rsidP="001D0E59">
      <w:pPr>
        <w:bidi/>
        <w:spacing w:after="0" w:line="240" w:lineRule="auto"/>
        <w:jc w:val="lowKashida"/>
        <w:outlineLvl w:val="0"/>
        <w:rPr>
          <w:rFonts w:cs="B Nazanin"/>
          <w:b/>
          <w:bCs/>
          <w:sz w:val="32"/>
          <w:szCs w:val="32"/>
          <w:rtl/>
          <w:lang w:bidi="fa-IR"/>
        </w:rPr>
      </w:pPr>
    </w:p>
    <w:p w14:paraId="22D92284" w14:textId="7014D94F" w:rsidR="00C23CF4" w:rsidRDefault="00C23CF4" w:rsidP="001D0E59">
      <w:pPr>
        <w:bidi/>
        <w:spacing w:after="0" w:line="240" w:lineRule="auto"/>
        <w:jc w:val="lowKashida"/>
        <w:outlineLvl w:val="0"/>
        <w:rPr>
          <w:rFonts w:cs="B Nazanin"/>
          <w:b/>
          <w:bCs/>
          <w:rtl/>
          <w:lang w:bidi="fa-IR"/>
        </w:rPr>
      </w:pPr>
      <w:r>
        <w:rPr>
          <w:rFonts w:cs="B Nazanin" w:hint="cs"/>
          <w:b/>
          <w:bCs/>
          <w:rtl/>
          <w:lang w:bidi="fa-IR"/>
        </w:rPr>
        <w:t>واژگان کلیدی</w:t>
      </w:r>
    </w:p>
    <w:p w14:paraId="6CFFE082" w14:textId="483F1F85" w:rsidR="00C23CF4" w:rsidRDefault="00C23CF4" w:rsidP="001D0E59">
      <w:pPr>
        <w:bidi/>
        <w:spacing w:after="0" w:line="240" w:lineRule="auto"/>
        <w:jc w:val="lowKashida"/>
        <w:outlineLvl w:val="0"/>
        <w:rPr>
          <w:rFonts w:cs="B Nazanin"/>
          <w:rtl/>
          <w:lang w:bidi="fa-IR"/>
        </w:rPr>
      </w:pPr>
      <w:r>
        <w:rPr>
          <w:rFonts w:cs="B Nazanin" w:hint="cs"/>
          <w:rtl/>
          <w:lang w:bidi="fa-IR"/>
        </w:rPr>
        <w:t>فلوکستین،مسئولیت،روانپزشکی،حقوق پزشکی</w:t>
      </w:r>
    </w:p>
    <w:p w14:paraId="487CAAEF" w14:textId="77777777" w:rsidR="00C23CF4" w:rsidRDefault="00C23CF4" w:rsidP="001D0E59">
      <w:pPr>
        <w:bidi/>
        <w:spacing w:after="0" w:line="240" w:lineRule="auto"/>
        <w:jc w:val="lowKashida"/>
        <w:outlineLvl w:val="0"/>
        <w:rPr>
          <w:rFonts w:cs="B Nazanin"/>
          <w:rtl/>
          <w:lang w:bidi="fa-IR"/>
        </w:rPr>
      </w:pPr>
    </w:p>
    <w:p w14:paraId="01000A14" w14:textId="77777777" w:rsidR="00C23CF4" w:rsidRDefault="00C23CF4" w:rsidP="001D0E59">
      <w:pPr>
        <w:bidi/>
        <w:spacing w:after="0" w:line="240" w:lineRule="auto"/>
        <w:jc w:val="lowKashida"/>
        <w:outlineLvl w:val="0"/>
        <w:rPr>
          <w:rFonts w:cs="B Nazanin"/>
          <w:rtl/>
          <w:lang w:bidi="fa-IR"/>
        </w:rPr>
      </w:pPr>
    </w:p>
    <w:p w14:paraId="584BB66F" w14:textId="77777777" w:rsidR="00C23CF4" w:rsidRDefault="00C23CF4" w:rsidP="001D0E59">
      <w:pPr>
        <w:bidi/>
        <w:spacing w:after="0" w:line="240" w:lineRule="auto"/>
        <w:jc w:val="lowKashida"/>
        <w:outlineLvl w:val="0"/>
        <w:rPr>
          <w:rFonts w:cs="B Nazanin"/>
          <w:rtl/>
          <w:lang w:bidi="fa-IR"/>
        </w:rPr>
      </w:pPr>
    </w:p>
    <w:p w14:paraId="3BB56763" w14:textId="24E8A61F" w:rsidR="00C23CF4" w:rsidRDefault="001B6E20" w:rsidP="001D0E59">
      <w:pPr>
        <w:bidi/>
        <w:spacing w:after="0" w:line="240" w:lineRule="auto"/>
        <w:jc w:val="lowKashida"/>
        <w:outlineLvl w:val="0"/>
        <w:rPr>
          <w:rFonts w:cs="B Nazanin"/>
          <w:b/>
          <w:bCs/>
          <w:rtl/>
          <w:lang w:bidi="fa-IR"/>
        </w:rPr>
      </w:pPr>
      <w:r>
        <w:rPr>
          <w:rFonts w:cs="B Nazanin" w:hint="cs"/>
          <w:b/>
          <w:bCs/>
          <w:rtl/>
          <w:lang w:bidi="fa-IR"/>
        </w:rPr>
        <w:t>مقدمه</w:t>
      </w:r>
    </w:p>
    <w:p w14:paraId="373010A0" w14:textId="74B14F0D" w:rsidR="00801735" w:rsidRDefault="001B6E20" w:rsidP="001D0E59">
      <w:pPr>
        <w:bidi/>
        <w:spacing w:after="0" w:line="240" w:lineRule="auto"/>
        <w:jc w:val="lowKashida"/>
        <w:outlineLvl w:val="0"/>
        <w:rPr>
          <w:rFonts w:cs="B Nazanin"/>
          <w:sz w:val="32"/>
          <w:szCs w:val="32"/>
          <w:rtl/>
          <w:lang w:bidi="fa-IR"/>
        </w:rPr>
      </w:pPr>
      <w:r>
        <w:rPr>
          <w:rFonts w:cs="B Nazanin" w:hint="cs"/>
          <w:rtl/>
          <w:lang w:bidi="fa-IR"/>
        </w:rPr>
        <w:t>قبل از پرداختن به اصل بحث ابتدا باید به مفهوم اختلال افسردگی پرداخت تحقیقات نشان داده است در نوع برچسب زنی اختلال،</w:t>
      </w:r>
      <w:r w:rsidR="007D448B">
        <w:rPr>
          <w:rFonts w:cs="B Nazanin" w:hint="cs"/>
          <w:rtl/>
          <w:lang w:bidi="fa-IR"/>
        </w:rPr>
        <w:t xml:space="preserve"> </w:t>
      </w:r>
      <w:r>
        <w:rPr>
          <w:rFonts w:cs="B Nazanin" w:hint="cs"/>
          <w:rtl/>
          <w:lang w:bidi="fa-IR"/>
        </w:rPr>
        <w:t>بیماری یا مشکل سلامت روان در ایجاد پیش آگاهی منفی تاثیر محسوس نداشته و ارجاع افراد را به پزشک یا روانشناس افزایش نمی ده</w:t>
      </w:r>
      <w:r w:rsidR="008977EB">
        <w:rPr>
          <w:rFonts w:cs="B Nazanin" w:hint="cs"/>
          <w:rtl/>
          <w:lang w:bidi="fa-IR"/>
        </w:rPr>
        <w:t>د</w:t>
      </w:r>
      <w:r w:rsidR="00426451">
        <w:rPr>
          <w:rFonts w:cs="B Nazanin"/>
          <w:rtl/>
          <w:lang w:bidi="fa-IR"/>
        </w:rPr>
        <w:fldChar w:fldCharType="begin" w:fldLock="1"/>
      </w:r>
      <w:r w:rsidR="00C95A07">
        <w:rPr>
          <w:rFonts w:cs="B Nazanin"/>
          <w:lang w:bidi="fa-IR"/>
        </w:rPr>
        <w:instrText>ADDIN CSL_CITATION {"citationItems":[{"id":"ITEM-1","itemData":{"DOI":"10.1186/s12888-023-04680-5","ISSN":"1471-244X (Electronic)","PMID":"37013532","abstract":"PURPOSE: How \"mental disorder\" should be defined has been the focus of extensive  theoretical and philosophical debate, but how the concept is understood by laypeople has received much less attention. The study aimed to examine the content (distinctive features and inclusiveness) of these concepts, their degree of correspondence to the DSM-5 definition, and whether alternative concept labels (\"mental disorder\", \"mental illness\", \"mental health problem\", \"psychological issue\") have similar or different meanings. METHODS: We investigated concepts of mental disorder in a nationally representative sample of 600 U.S. residents. Subsets of participants made judgments about vignettes describing people with 37 DSM-5 disorders and 24 non-DSM phenomena including neurological conditions, character flaws, bad habits, and culture-specific syndromes. RESULTS: Findings indicated that concepts of mental disorder were primarily based on judgments that a condition is associated with emotional distress and impairment, and that it is rare and aberrant. Disorder judgments were only weakly associated with the DSM-5: many DSM-5 conditions were not judged to be disorders and many non-DSM conditions were so judged. \"Mental disorder\", \"mental illness\", and \"mental health problem\" were effectively identical in meaning, but \"psychological issue\" was somewhat more inclusive, capturing a broader range of conditions. CONCLUSION: These findings clarify important issues surrounding how laypeople conceptualize mental disorder. Our findings point to some significant points of disagreement between professional and public understandings of disorder, while also establishing that laypeople's concepts of mental disorder are systematic and structured.","author":[{"dropping-particle":"","family":"Tse","given":"Jesse S Y","non-dropping-particle":"","parse-names":false,"suffix":""},{"dropping-particle":"","family":"Haslam","given":"Nick","non-dropping-particle":"","parse-names":false,"suffix":""}],"container-title":"BMC psychiatry","id":"ITEM-1","issue":"1","issued":{"date-parts":[["2023","4"]]},"language":"eng","page":"224","publisher-place":"England","title":"What is a mental disorder? Evaluating the lay concept of Mental Ill Health in the  United States.","type":"article-journal","volume":"23"},"uris":["http://www.mendeley.com/documents/?uuid=a8f2521f-4ad9-4b1b-9b74-45ec2b103d13"]}],"mendeley":{"formattedCitation":"(Tse &amp; Haslam, 2023)","plainTextFormattedCitation":"(Tse &amp; Haslam, 2023)","previouslyFormattedCitation":"(Tse &amp; Haslam, 2023)"},"properties":{"noteIndex":0},"schema":"https://github.com/citation-style-language/schema/raw/master/csl-citation.json"}</w:instrText>
      </w:r>
      <w:r w:rsidR="00426451">
        <w:rPr>
          <w:rFonts w:cs="B Nazanin"/>
          <w:rtl/>
          <w:lang w:bidi="fa-IR"/>
        </w:rPr>
        <w:fldChar w:fldCharType="separate"/>
      </w:r>
      <w:r w:rsidR="00426451" w:rsidRPr="00426451">
        <w:rPr>
          <w:rFonts w:cs="B Nazanin"/>
          <w:noProof/>
          <w:lang w:bidi="fa-IR"/>
        </w:rPr>
        <w:t>(Tse &amp; Haslam, 2023)</w:t>
      </w:r>
      <w:r w:rsidR="00426451">
        <w:rPr>
          <w:rFonts w:cs="B Nazanin"/>
          <w:rtl/>
          <w:lang w:bidi="fa-IR"/>
        </w:rPr>
        <w:fldChar w:fldCharType="end"/>
      </w:r>
      <w:r w:rsidR="00426451">
        <w:rPr>
          <w:rFonts w:cs="B Nazanin" w:hint="cs"/>
          <w:rtl/>
          <w:lang w:bidi="fa-IR"/>
        </w:rPr>
        <w:t>.</w:t>
      </w:r>
      <w:r w:rsidR="008977EB">
        <w:rPr>
          <w:rFonts w:cs="B Nazanin" w:hint="cs"/>
          <w:rtl/>
          <w:lang w:bidi="fa-IR"/>
        </w:rPr>
        <w:t xml:space="preserve"> </w:t>
      </w:r>
      <w:r>
        <w:rPr>
          <w:rFonts w:cs="B Nazanin" w:hint="cs"/>
          <w:rtl/>
          <w:lang w:bidi="fa-IR"/>
        </w:rPr>
        <w:t>اما افسردگی به عنوان یک اختلال،</w:t>
      </w:r>
      <w:r w:rsidR="007D448B">
        <w:rPr>
          <w:rFonts w:cs="B Nazanin" w:hint="cs"/>
          <w:rtl/>
          <w:lang w:bidi="fa-IR"/>
        </w:rPr>
        <w:t xml:space="preserve"> </w:t>
      </w:r>
      <w:r>
        <w:rPr>
          <w:rFonts w:cs="B Nazanin" w:hint="cs"/>
          <w:rtl/>
          <w:lang w:bidi="fa-IR"/>
        </w:rPr>
        <w:t>بیماری روانی یا مشکل سلامت روان نیاز محسوسی به درمان دارد</w:t>
      </w:r>
      <w:r w:rsidR="00B05CCC">
        <w:rPr>
          <w:rFonts w:cs="B Nazanin" w:hint="cs"/>
          <w:rtl/>
          <w:lang w:bidi="fa-IR"/>
        </w:rPr>
        <w:t>، افسردگی به طور فزاینده ای در حال تبدیل شدن به یک مشکل رایج سلامت روان در سراسر جهان است و عمیقاً بر عملکرد روانی،</w:t>
      </w:r>
      <w:r w:rsidR="007D448B">
        <w:rPr>
          <w:rFonts w:cs="B Nazanin" w:hint="cs"/>
          <w:rtl/>
          <w:lang w:bidi="fa-IR"/>
        </w:rPr>
        <w:t xml:space="preserve"> </w:t>
      </w:r>
      <w:r w:rsidR="00B05CCC">
        <w:rPr>
          <w:rFonts w:cs="B Nazanin" w:hint="cs"/>
          <w:rtl/>
          <w:lang w:bidi="fa-IR"/>
        </w:rPr>
        <w:t>فیزیولوژیکی و اجتماعی تأثیر می گذارد.</w:t>
      </w:r>
      <w:r w:rsidR="007D448B">
        <w:rPr>
          <w:rFonts w:cs="B Nazanin" w:hint="cs"/>
          <w:rtl/>
          <w:lang w:bidi="fa-IR"/>
        </w:rPr>
        <w:t xml:space="preserve"> </w:t>
      </w:r>
      <w:r w:rsidR="00B05CCC">
        <w:rPr>
          <w:rFonts w:cs="B Nazanin" w:hint="cs"/>
          <w:rtl/>
          <w:lang w:bidi="fa-IR"/>
        </w:rPr>
        <w:t>در سال های اخیر، میزان بروز افسردگی در واسط تا اواخر نوجوانی تقریبا سالانه 4تا5 درصد بوده است، با روند صعودی در شیوع و روند نزولی در سن شروع این امر منجربه پریشانی قابل توجه برای بیماران و اختلال در عملکرد</w:t>
      </w:r>
      <w:r w:rsidR="007D448B">
        <w:rPr>
          <w:rFonts w:cs="B Nazanin" w:hint="cs"/>
          <w:rtl/>
          <w:lang w:bidi="fa-IR"/>
        </w:rPr>
        <w:t xml:space="preserve"> افراد شده</w:t>
      </w:r>
      <w:r w:rsidR="00B05CCC">
        <w:rPr>
          <w:rFonts w:cs="B Nazanin" w:hint="cs"/>
          <w:rtl/>
          <w:lang w:bidi="fa-IR"/>
        </w:rPr>
        <w:t xml:space="preserve">، همچنین کاهش کیفیت زندگی و بار قابل توجهی بر خانواده ها </w:t>
      </w:r>
      <w:r w:rsidR="007D448B">
        <w:rPr>
          <w:rFonts w:cs="B Nazanin" w:hint="cs"/>
          <w:rtl/>
          <w:lang w:bidi="fa-IR"/>
        </w:rPr>
        <w:t>تحمیل شده است</w:t>
      </w:r>
      <w:r w:rsidR="00B05CCC">
        <w:rPr>
          <w:rFonts w:cs="B Nazanin" w:hint="cs"/>
          <w:rtl/>
          <w:lang w:bidi="fa-IR"/>
        </w:rPr>
        <w:t xml:space="preserve">. در مقایسه با افسردگی بزرگسالان، افسردگی نوجوانان با دورة بیماری طولانی تری مشخص و همراه می شود. هرچه سن شروع بیماری </w:t>
      </w:r>
      <w:r w:rsidR="00B05CCC">
        <w:rPr>
          <w:rFonts w:cs="B Nazanin" w:hint="cs"/>
          <w:rtl/>
          <w:lang w:bidi="fa-IR"/>
        </w:rPr>
        <w:lastRenderedPageBreak/>
        <w:t>پایین تر باشد، میزان عود وخطر خودکشی بیشتر است</w:t>
      </w:r>
      <w:r w:rsidR="00D46B9D">
        <w:rPr>
          <w:rFonts w:cs="B Nazanin" w:hint="cs"/>
          <w:rtl/>
          <w:lang w:bidi="fa-IR"/>
        </w:rPr>
        <w:t xml:space="preserve"> که به شدت بر عملکرد تحصیلی، روابط خانوادگی و تعاملات اجتماعی بیماران تأثیر می گذارد.</w:t>
      </w:r>
      <w:r w:rsidR="00531DD4">
        <w:rPr>
          <w:rFonts w:cs="B Nazanin" w:hint="cs"/>
          <w:rtl/>
          <w:lang w:bidi="fa-IR"/>
        </w:rPr>
        <w:t xml:space="preserve"> علاوه بر این،افسردگی نوجوانان ویژگی های پاتوفیزیولوژیک منحصر به فردی دارد، مانند عدم بلوغ سیستم های انتقال دهنده عصبی و پاسخ های درمانی ناهمگن، که به پیچیدگی و چالش های درمانی می افزاید، بسیاری از مردانی که از افسردگی رنج می برند نیز حتی تشخیص داده نمی شوند. در حالی که میزان تشخیص افسردگی در مردان نصف زنان است، اما آن ها 3 تا 4 برابر بیشتر بر اثر خودکشی جان خود را از دست می دهند. فرایند های جنسیتی اجتماعی شدن بر نحوه ابراز افسردگی در برخی از پسران و مردان تأثیر می گذارد. نکته قابل توجه این است که وقتی علائم</w:t>
      </w:r>
      <w:r w:rsidR="003530A2">
        <w:rPr>
          <w:rFonts w:cs="B Nazanin" w:hint="cs"/>
          <w:rtl/>
          <w:lang w:bidi="fa-IR"/>
        </w:rPr>
        <w:t xml:space="preserve"> </w:t>
      </w:r>
      <w:r w:rsidR="00531DD4">
        <w:rPr>
          <w:rFonts w:cs="B Nazanin" w:hint="cs"/>
          <w:rtl/>
          <w:lang w:bidi="fa-IR"/>
        </w:rPr>
        <w:t>«ویژه مردان»</w:t>
      </w:r>
      <w:r w:rsidR="003530A2">
        <w:rPr>
          <w:rFonts w:cs="B Nazanin" w:hint="cs"/>
          <w:rtl/>
          <w:lang w:bidi="fa-IR"/>
        </w:rPr>
        <w:t xml:space="preserve"> </w:t>
      </w:r>
      <w:r w:rsidR="00531DD4">
        <w:rPr>
          <w:rFonts w:cs="B Nazanin" w:hint="cs"/>
          <w:rtl/>
          <w:lang w:bidi="fa-IR"/>
        </w:rPr>
        <w:t>افسردگی در نظر گرفته می شود، نابرابری های جنسیتی در تشخیص از بین می رود. از نظر تاریخی و تا به امروز، مرادنگی موانعی را برای مراقبت ایجاد کرده است.</w:t>
      </w:r>
      <w:r w:rsidR="00E24125">
        <w:rPr>
          <w:rFonts w:cs="B Nazanin" w:hint="cs"/>
          <w:rtl/>
          <w:lang w:bidi="fa-IR"/>
        </w:rPr>
        <w:t xml:space="preserve"> پرداختن به نابرابری ها در تشخیص  و درمان افسردگی مستلزم مقرون به صرفه کردن خدمات روانشناختی،اتخاذ مدل های مراقبت مشارکتی، بازنگری در روابط جنسی به عنوان یک عامل خطر برای افسردگی و بررسی مجدد معیار های تشخیصی اختلال افسردگی اساسی </w:t>
      </w:r>
      <w:r w:rsidR="00C95A07">
        <w:rPr>
          <w:rFonts w:cs="B Nazanin" w:hint="cs"/>
          <w:rtl/>
          <w:lang w:bidi="fa-IR"/>
        </w:rPr>
        <w:t xml:space="preserve">است </w:t>
      </w:r>
      <w:r w:rsidR="00C95A07">
        <w:rPr>
          <w:rFonts w:cs="B Nazanin"/>
          <w:rtl/>
          <w:lang w:bidi="fa-IR"/>
        </w:rPr>
        <w:fldChar w:fldCharType="begin" w:fldLock="1"/>
      </w:r>
      <w:r w:rsidR="00ED0179">
        <w:rPr>
          <w:rFonts w:cs="B Nazanin"/>
          <w:lang w:bidi="fa-IR"/>
        </w:rPr>
        <w:instrText>ADDIN CSL_CITATION {"citationItems":[{"id":"ITEM-1","itemData":{"DOI":"10.1016/S2215-0366(20)30137-1","ISSN":"2215-0374 (Electronic)","PMID":"32563306","abstract":"BACKGROUND: Depressive disorders are common in children and adolescents.  Antidepressants, psychotherapies, and their combination are often used in routine clinical practice; however, available evidence on the comparative efficacy and safety of these interventions is inconclusive. Therefore, we sought to compare and rank all available treatment interventions for the acute treatment of depressive disorders in children and adolescents. METHODS: We did a systematic review and network meta-analysis. We searched PubMed, Embase, the Cochrane Central Register of Controlled Trials, Web of Science, PsycINFO, ProQuest, CINAHL, LiLACS, international trial registries, and the websites of regulatory agencies for published and unpublished randomised controlled trials from database inception until Jan 1, 2019. We included placebo-controlled and head-to-head trials of 16 antidepressants, seven psychotherapies, and five combinations of antidepressant and psychotherapy that are used for the acute treatment of children and adolescents (≤18 years old and of both sexes) with depressive disorder diagnosed according to standard operationalised criteria. Trials recruiting participants with treatment-resistant depression, bipolar disorder, psychotic depression, treatment duration of less than 4 weeks, or an overall sample size of fewer than ten patients were excluded. We extracted data following a predefined hierarchy of outcome measures, and assessed risk of bias and certainty of evidence using validated methods. Primary outcomes were efficacy (change in depressive symptoms) and acceptability (treatment discontinuation due to any cause). We estimated summary standardised mean differences (SMDs) or odds ratios (ORs) with credible intervals (CrIs) using network meta-analysis with random effects. This study was registered with PROSPERO, number CRD42015020841. FINDINGS: From 20</w:instrText>
      </w:r>
      <w:r w:rsidR="00ED0179">
        <w:rPr>
          <w:rFonts w:ascii="Arial" w:hAnsi="Arial" w:cs="Arial"/>
          <w:lang w:bidi="fa-IR"/>
        </w:rPr>
        <w:instrText> </w:instrText>
      </w:r>
      <w:r w:rsidR="00ED0179">
        <w:rPr>
          <w:rFonts w:cs="B Nazanin"/>
          <w:lang w:bidi="fa-IR"/>
        </w:rPr>
        <w:instrText>366 publications, we included 71 trials (9510 participants). Depressive disorders in most studies were moderate to severe. In terms of efficacy, fluoxetine plus cognitive behavioural therapy (CBT) was more effective than CBT alone (-0·78, 95% CrI -1·55 to -0·01) and psychodynamic therapy (-1·14, -2·20 to -0·08), but not more effective than fluoxetine alone (-0·22, -0·86 to 0·42). No pharmacotherapy alone was more effective than psychotherapy alone. Only fluoxetine plus CBT and fluoxetine were significantly more effective than pill placebo or psychological controls (SMDs ranged from -1·73 to -0·51); and only…","author":[{"dropping-particle":"","family":"Zhou","given":"Xinyu","non-dropping-particle":"","parse-names":false,"suffix":""},{"dropping-particle":"","family":"Teng","given":"Teng","non-dropping-particle":"","parse-names":false,"suffix":""},{"dropping-particle":"","family":"Zhang","given":"Yuqing","non-dropping-particle":"","parse-names":false,"suffix":""},{"dropping-particle":"","family":"Giovane","given":"Cinzia","non-dropping-particle":"Del","parse-names":false,"suffix":""},{"dropping-particle":"","family":"Furukawa","given":"Toshi A","non-dropping-particle":"","parse-names":false,"suffix":""},{"dropping-particle":"","family":"Weisz","given":"John R","non-dropping-particle":"","parse-names":false,"suffix":""},{"dropping-particle":"","family":"Li","given":"Xuemei","non-dropping-particle":"","parse-names":false,"suffix":""},{"dropping-particle":"","family":"Cuijpers","given":"Pim","non-dropping-particle":"","parse-names":false,"suffix":""},{"dropping-particle":"","family":"Coghill","given":"David","non-dropping-particle":"","parse-names":false,"suffix":""},{"dropping-particle":"","family":"Xiang","given":"Yajie","non-dropping-particle":"","parse-names":false,"suffix":""},{"dropping-particle":"","family":"Hetrick","given":"Sarah E","non-dropping-particle":"","parse-names":false,"suffix":""},{"dropping-particle":"","family":"Leucht","given":"Stefan","non-dropping-particle":"","parse-names":false,"suffix":""},{"dropping-particle":"","family":"Qin","given":"Mengchang","non-dropping-particle":"","parse-names":false,"suffix":""},{"dropping-particle":"","family":"Barth","given":"Jürgen","non-dropping-particle":"","parse-names":false,"suffix":""},{"dropping-particle":"V","family":"Ravindran","given":"Arun","non-dropping-particle":"","parse-names":false,"suffix":""},{"dropping-particle":"","family":"Yang","given":"Lining","non-dropping-particle":"","parse-names":false,"suffix":""},{"dropping-particle":"","family":"Curry","given":"John","non-dropping-particle":"","parse-names":false,"suffix":""},{"dropping-particle":"","family":"Fan","given":"Li","non-dropping-particle":"","parse-names":false,"suffix":""},{"dropping-particle":"","family":"Silva","given":"Susan G","non-dropping-particle":"","parse-names":false,"suffix":""},{"dropping-particle":"","family":"Cipriani","given":"Andrea","non-dropping-particle":"","parse-names":false,"suffix":""},{"dropping-particle":"","family":"Xie","given":"Peng","non-dropping-particle":"","parse-names":false,"suffix":""}],"container-title":"The lancet. Psychiatry","id":"ITEM-1","issue":"7","issued":{"date-parts":[["2020","7"]]},"language":"eng","page":"581-601","publisher-place":"England","title":"Comparative efficacy and acceptability of antidepressants, psychotherapies, and  their combination for acute treatment of children and adolescents with depressive disorder: a systematic review and network meta-analysis.","type":"article-journal","volume":"7"},"uris":["http://www.mendeley.com/documents/?uuid=63cfac2f-8458-4af1-bfbb-369df1117a2a"]},{"id":"ITEM-2","itemData":{"DOI":"10.1001/amajethics.2021.586","ISSN":"2376-6980 (Electronic)","PMID":"34351273","abstract":"Too many men who suffer from depression remain undiagnosed. While men are  diagnosed with depression at half the rate of women, they die by suicide 3 to 4 times as frequently. Gendered processes of socialization affect how some boys and men express depression. Notably, gender disparities in diagnosis disappear when \"male-typical\" symptoms of depression are incorporated. Historically and to this day, masculinities have created barriers to care. Addressing disparities in depression diagnoses and treatment requires making psychological services affordable, adopting collaborative care models, revisiting sex as a risk factor for depression, and reexamining major depressive disorder's diagnostic criteria.","author":[{"dropping-particle":"","family":"Swetlitz","given":"Nathan","non-dropping-particle":"","parse-names":false,"suffix":""}],"container-title":"AMA journal of ethics","id":"ITEM-2","issue":"7","issued":{"date-parts":[["2021","7"]]},"language":"eng","page":"E586-589","publisher-place":"United States","title":"Depression's Problem With Men.","type":"article-journal","volume":"23"},"uris":["http://www.mendeley.com/documents/?uuid=0c8909fa-c0be-4849-beed-bdd2168e65bc"]}],"mendeley":{"formattedCitation":"(Swetlitz, 2021; Zhou et al., 2020)","plainTextFormattedCitation":"(Swetlitz, 2021; Zhou et al., 2020)","previouslyFormattedCitation":"(Swetlitz, 2021; Zhou et al., 2020)"},"properties":{"noteIndex":0},"schema":"https://github.com/citation-style-language/schema/raw/master/csl-citation.json"}</w:instrText>
      </w:r>
      <w:r w:rsidR="00C95A07">
        <w:rPr>
          <w:rFonts w:cs="B Nazanin"/>
          <w:rtl/>
          <w:lang w:bidi="fa-IR"/>
        </w:rPr>
        <w:fldChar w:fldCharType="separate"/>
      </w:r>
      <w:r w:rsidR="00C95A07" w:rsidRPr="00C95A07">
        <w:rPr>
          <w:rFonts w:cs="B Nazanin"/>
          <w:noProof/>
          <w:lang w:bidi="fa-IR"/>
        </w:rPr>
        <w:t>(Swetlitz, 2021; Zhou et al., 2020)</w:t>
      </w:r>
      <w:r w:rsidR="00C95A07">
        <w:rPr>
          <w:rFonts w:cs="B Nazanin"/>
          <w:rtl/>
          <w:lang w:bidi="fa-IR"/>
        </w:rPr>
        <w:fldChar w:fldCharType="end"/>
      </w:r>
      <w:r w:rsidR="00E24125">
        <w:rPr>
          <w:rFonts w:cs="B Nazanin" w:hint="cs"/>
          <w:rtl/>
          <w:lang w:bidi="fa-IR"/>
        </w:rPr>
        <w:t xml:space="preserve"> </w:t>
      </w:r>
      <w:r w:rsidR="00C95A07">
        <w:rPr>
          <w:rFonts w:cs="B Nazanin" w:hint="cs"/>
          <w:rtl/>
          <w:lang w:bidi="fa-IR"/>
        </w:rPr>
        <w:t xml:space="preserve">. </w:t>
      </w:r>
      <w:r w:rsidR="00E24125">
        <w:rPr>
          <w:rFonts w:cs="B Nazanin" w:hint="cs"/>
          <w:rtl/>
          <w:lang w:bidi="fa-IR"/>
        </w:rPr>
        <w:t>اما در مراحل درمان اینکه یک روانپزشک چگونه عمل می کند بسیار حائز اهمیت است. فلوکستین به عنوان اولین خط درمانی در افسردگی عموماً مورد مصرف و تجویز قرار می گیرد اما اینکه چهارچوب و ضابطه استفاده از این دارو چیست و یا عوارض عدم رعایت این ضوابط آیا می تواند مسئولیت حقوقی را اعم از کیفری یا مدنی ایجاد کند در حاله ای از ابهام قرار دارد. در قوانین مدونه ایران صرفاً باید به اصول اساسی مسئولیت استمساک جست و حکم موضوع مطورحه را دریافت، در این پژوهش سعی شده است تا با در نظر گرفتن</w:t>
      </w:r>
      <w:r w:rsidR="00E158B6">
        <w:rPr>
          <w:rFonts w:cs="B Nazanin" w:hint="cs"/>
          <w:rtl/>
          <w:lang w:bidi="fa-IR"/>
        </w:rPr>
        <w:t xml:space="preserve"> قواعد عمومی مسئولیت در حقوق ایران و نظر به موازین علمی امر در تجویز این دارو ضوابط خاصی را وضع کند تا ضمن جلوگیری از عوارض نامطلوب، بتواند به سوال های مطروحه پاسخی شایسته دهد.</w:t>
      </w:r>
    </w:p>
    <w:p w14:paraId="08A165AC" w14:textId="77777777" w:rsidR="003F2510" w:rsidRDefault="003F2510" w:rsidP="001D0E59">
      <w:pPr>
        <w:bidi/>
        <w:spacing w:after="0" w:line="240" w:lineRule="auto"/>
        <w:jc w:val="lowKashida"/>
        <w:outlineLvl w:val="0"/>
        <w:rPr>
          <w:rFonts w:cs="B Nazanin"/>
          <w:sz w:val="32"/>
          <w:szCs w:val="32"/>
          <w:rtl/>
          <w:lang w:bidi="fa-IR"/>
        </w:rPr>
      </w:pPr>
    </w:p>
    <w:p w14:paraId="7742B2D9" w14:textId="2B0F3E77" w:rsidR="003F2510" w:rsidRDefault="00FE4A53" w:rsidP="001D0E59">
      <w:pPr>
        <w:bidi/>
        <w:spacing w:after="0" w:line="240" w:lineRule="auto"/>
        <w:jc w:val="lowKashida"/>
        <w:outlineLvl w:val="0"/>
        <w:rPr>
          <w:rFonts w:cs="B Nazanin"/>
          <w:b/>
          <w:bCs/>
          <w:rtl/>
          <w:lang w:bidi="fa-IR"/>
        </w:rPr>
      </w:pPr>
      <w:r>
        <w:rPr>
          <w:rFonts w:cs="B Nazanin" w:hint="cs"/>
          <w:b/>
          <w:bCs/>
          <w:rtl/>
          <w:lang w:bidi="fa-IR"/>
        </w:rPr>
        <w:t>روش تحقیق</w:t>
      </w:r>
    </w:p>
    <w:p w14:paraId="4C0B89D5" w14:textId="08097259" w:rsidR="00FE4A53" w:rsidRPr="00FE4A53" w:rsidRDefault="00FE4A53" w:rsidP="001D0E59">
      <w:pPr>
        <w:bidi/>
        <w:spacing w:after="0" w:line="240" w:lineRule="auto"/>
        <w:jc w:val="lowKashida"/>
        <w:outlineLvl w:val="0"/>
        <w:rPr>
          <w:rFonts w:cs="B Nazanin"/>
          <w:rtl/>
          <w:lang w:bidi="fa-IR"/>
        </w:rPr>
      </w:pPr>
      <w:r>
        <w:rPr>
          <w:rFonts w:cs="B Nazanin" w:hint="cs"/>
          <w:rtl/>
          <w:lang w:bidi="fa-IR"/>
        </w:rPr>
        <w:t>در این پژوهش سعی شده است با رعایت موازین علمی از طریق مطالعه منابع کتابخانه ای، استفاده از یافته های میدانی جمع بندی آن ها موازین فنی تجویز این دارو به صورت کامل در موارد متفاوت شرح داده شود و تعریف حدود مسئولیت نیز با مطالعه منابع حقوقی کتابخانه ای یافت شده است.</w:t>
      </w:r>
    </w:p>
    <w:p w14:paraId="50609996" w14:textId="7E9E5BA7" w:rsidR="00FE4A53" w:rsidRDefault="007A2B31" w:rsidP="001D0E59">
      <w:pPr>
        <w:bidi/>
        <w:spacing w:after="0" w:line="240" w:lineRule="auto"/>
        <w:jc w:val="lowKashida"/>
        <w:outlineLvl w:val="0"/>
        <w:rPr>
          <w:rFonts w:cs="B Nazanin"/>
          <w:b/>
          <w:bCs/>
          <w:rtl/>
          <w:lang w:bidi="fa-IR"/>
        </w:rPr>
      </w:pPr>
      <w:r>
        <w:rPr>
          <w:rFonts w:cs="B Nazanin" w:hint="cs"/>
          <w:b/>
          <w:bCs/>
          <w:rtl/>
          <w:lang w:bidi="fa-IR"/>
        </w:rPr>
        <w:t>در کودکان</w:t>
      </w:r>
    </w:p>
    <w:p w14:paraId="7CD7F6B1" w14:textId="304C5100" w:rsidR="003530A2" w:rsidRDefault="007A2B31" w:rsidP="001D0E59">
      <w:pPr>
        <w:bidi/>
        <w:spacing w:after="0" w:line="240" w:lineRule="auto"/>
        <w:jc w:val="lowKashida"/>
        <w:outlineLvl w:val="0"/>
        <w:rPr>
          <w:rFonts w:cs="B Nazanin"/>
          <w:rtl/>
          <w:lang w:bidi="fa-IR"/>
        </w:rPr>
      </w:pPr>
      <w:r>
        <w:rPr>
          <w:rFonts w:cs="B Nazanin" w:hint="cs"/>
          <w:rtl/>
          <w:lang w:bidi="fa-IR"/>
        </w:rPr>
        <w:t xml:space="preserve">افسردگی ممکن است 2تا 8 درصد از کودکان و نوجوانان را تحت تأثیر قرار دهد و اوج بروز آن در حدود بلوغ است. این بیماری ممکن است خود، محدود شونده باشد اما حدود 40 درصد از کودکان مبتلا، حمله مکرر افسردگی را تجربه می کنند، 1 درصد از کودکان مبتلا اقدام به خودکشی می کنند و 3 تا 4 درصد بر اثر خودکشی می میرند. کودکان و نوجوانان ممکن است شروع تدریجی تری نسبت به بزرگسالان داشته باشند و تحریک پذیری ویژگی برجسته تری نسبت به غم و اندوه داشته باشند. </w:t>
      </w:r>
      <w:r w:rsidR="003530A2">
        <w:rPr>
          <w:rFonts w:cs="B Nazanin" w:hint="cs"/>
          <w:rtl/>
          <w:lang w:bidi="fa-IR"/>
        </w:rPr>
        <w:t xml:space="preserve">به صورت دقیق تر </w:t>
      </w:r>
      <w:r>
        <w:rPr>
          <w:rFonts w:cs="B Nazanin" w:hint="cs"/>
          <w:rtl/>
          <w:lang w:bidi="fa-IR"/>
        </w:rPr>
        <w:t>افسردگی ممکن است 2 درصد از کودکان و 4تا 8 درصد از نوجوانان را تحت تأثیر قرار دهد</w:t>
      </w:r>
      <w:r w:rsidR="003530A2">
        <w:rPr>
          <w:rFonts w:cs="B Nazanin" w:hint="cs"/>
          <w:rtl/>
          <w:lang w:bidi="fa-IR"/>
        </w:rPr>
        <w:t xml:space="preserve">. </w:t>
      </w:r>
      <w:r>
        <w:rPr>
          <w:rFonts w:cs="B Nazanin" w:hint="cs"/>
          <w:rtl/>
          <w:lang w:bidi="fa-IR"/>
        </w:rPr>
        <w:t xml:space="preserve"> </w:t>
      </w:r>
      <w:r w:rsidR="007249F3">
        <w:rPr>
          <w:rFonts w:cs="B Nazanin" w:hint="cs"/>
          <w:rtl/>
          <w:lang w:bidi="fa-IR"/>
        </w:rPr>
        <w:t xml:space="preserve">فلوکستین علائم را بهبود می بخشد و ممکن است عود را در مقایسه </w:t>
      </w:r>
      <w:r w:rsidR="001E32CD">
        <w:rPr>
          <w:rFonts w:cs="B Nazanin" w:hint="cs"/>
          <w:rtl/>
          <w:lang w:bidi="fa-IR"/>
        </w:rPr>
        <w:t xml:space="preserve">   </w:t>
      </w:r>
      <w:r w:rsidR="007249F3">
        <w:rPr>
          <w:rFonts w:cs="B Nazanin" w:hint="cs"/>
          <w:rtl/>
          <w:lang w:bidi="fa-IR"/>
        </w:rPr>
        <w:t>با دارونما در کودکان و نوجوانان، طی 7 تا 12 هفته به تاخیر بیندازد. فلوکستنین</w:t>
      </w:r>
      <w:r w:rsidR="003530A2">
        <w:rPr>
          <w:rFonts w:cs="B Nazanin" w:hint="cs"/>
          <w:rtl/>
          <w:lang w:bidi="fa-IR"/>
        </w:rPr>
        <w:t xml:space="preserve"> </w:t>
      </w:r>
      <w:r w:rsidR="007249F3">
        <w:rPr>
          <w:rFonts w:cs="B Nazanin" w:hint="cs"/>
          <w:rtl/>
          <w:lang w:bidi="fa-IR"/>
        </w:rPr>
        <w:t>در در مقایسه با</w:t>
      </w:r>
      <w:r w:rsidR="007A1DA2">
        <w:rPr>
          <w:rFonts w:cs="B Nazanin" w:hint="cs"/>
          <w:rtl/>
          <w:lang w:bidi="fa-IR"/>
        </w:rPr>
        <w:t xml:space="preserve"> </w:t>
      </w:r>
      <w:r w:rsidR="007A1DA2">
        <w:rPr>
          <w:rFonts w:cs="B Nazanin"/>
          <w:lang w:bidi="fa-IR"/>
        </w:rPr>
        <w:t xml:space="preserve">CBT </w:t>
      </w:r>
      <w:r w:rsidR="007A1DA2">
        <w:rPr>
          <w:rFonts w:cs="B Nazanin" w:hint="cs"/>
          <w:rtl/>
          <w:lang w:bidi="fa-IR"/>
        </w:rPr>
        <w:t xml:space="preserve"> ممکن است</w:t>
      </w:r>
      <w:r w:rsidR="007249F3">
        <w:rPr>
          <w:rFonts w:cs="B Nazanin"/>
          <w:lang w:bidi="fa-IR"/>
        </w:rPr>
        <w:t xml:space="preserve"> </w:t>
      </w:r>
      <w:r w:rsidR="007A1DA2">
        <w:rPr>
          <w:rFonts w:cs="B Nazanin" w:hint="cs"/>
          <w:rtl/>
          <w:lang w:bidi="fa-IR"/>
        </w:rPr>
        <w:t>در بهبود علائم مؤثر تر باشد. درمان ترکیبی فلوکستین به همراه</w:t>
      </w:r>
      <w:r w:rsidR="007249F3">
        <w:rPr>
          <w:rFonts w:cs="B Nazanin"/>
          <w:lang w:bidi="fa-IR"/>
        </w:rPr>
        <w:t xml:space="preserve"> </w:t>
      </w:r>
      <w:r w:rsidR="007A1DA2">
        <w:rPr>
          <w:rFonts w:cs="B Nazanin"/>
          <w:lang w:bidi="fa-IR"/>
        </w:rPr>
        <w:t>CBT</w:t>
      </w:r>
      <w:r w:rsidR="007A1DA2">
        <w:rPr>
          <w:rFonts w:cs="B Nazanin" w:hint="cs"/>
          <w:rtl/>
          <w:lang w:bidi="fa-IR"/>
        </w:rPr>
        <w:t xml:space="preserve"> ممکن است ممکن است در نوجوانان مؤثرتر از</w:t>
      </w:r>
      <w:r w:rsidR="007A1DA2">
        <w:rPr>
          <w:rFonts w:cs="B Nazanin"/>
          <w:lang w:bidi="fa-IR"/>
        </w:rPr>
        <w:t>CBT</w:t>
      </w:r>
      <w:r w:rsidR="007A1DA2">
        <w:rPr>
          <w:rFonts w:cs="B Nazanin" w:hint="cs"/>
          <w:rtl/>
          <w:lang w:bidi="fa-IR"/>
        </w:rPr>
        <w:t xml:space="preserve"> به تنهایی باشد. فلووکسامین،سیتالوپرام و اس سیتالوپرام در کودکان و نوجوانان مبتلا به افسردگی مفید شناخته نشده اند. پاروکستین و سرترالین نیز بعید است که مؤثر باشند. ما نمی دانیم که آیا سرترالین</w:t>
      </w:r>
      <w:r w:rsidR="004816AD">
        <w:rPr>
          <w:rFonts w:cs="B Nazanin" w:hint="cs"/>
          <w:rtl/>
          <w:lang w:bidi="fa-IR"/>
        </w:rPr>
        <w:t xml:space="preserve"> به اندازه</w:t>
      </w:r>
      <w:r w:rsidR="004816AD">
        <w:rPr>
          <w:rFonts w:cs="B Nazanin"/>
          <w:lang w:bidi="fa-IR"/>
        </w:rPr>
        <w:t>CBT</w:t>
      </w:r>
      <w:r w:rsidR="004816AD">
        <w:rPr>
          <w:rFonts w:cs="B Nazanin" w:hint="cs"/>
          <w:rtl/>
          <w:lang w:bidi="fa-IR"/>
        </w:rPr>
        <w:t xml:space="preserve"> در درمان نوجوانان مؤثر است یا خیر؟ما نیز نمی دانیم که آیا سرترالین و </w:t>
      </w:r>
      <w:r w:rsidR="004816AD">
        <w:rPr>
          <w:rFonts w:cs="B Nazanin"/>
          <w:lang w:bidi="fa-IR"/>
        </w:rPr>
        <w:t>CBT</w:t>
      </w:r>
      <w:r w:rsidR="004816AD">
        <w:rPr>
          <w:rFonts w:cs="B Nazanin" w:hint="cs"/>
          <w:rtl/>
          <w:lang w:bidi="fa-IR"/>
        </w:rPr>
        <w:t xml:space="preserve"> به عنوان تک درمانی به اندازه ترکیب آنها مؤثر هستند یا خیر؟</w:t>
      </w:r>
      <w:r w:rsidR="005B17A2">
        <w:rPr>
          <w:rFonts w:cs="B Nazanin" w:hint="cs"/>
          <w:rtl/>
          <w:lang w:bidi="fa-IR"/>
        </w:rPr>
        <w:t>سرترالین به همراه</w:t>
      </w:r>
      <w:r w:rsidR="005B17A2">
        <w:rPr>
          <w:rFonts w:cs="B Nazanin"/>
          <w:lang w:bidi="fa-IR"/>
        </w:rPr>
        <w:t>CBT</w:t>
      </w:r>
      <w:r w:rsidR="005B17A2">
        <w:rPr>
          <w:rFonts w:cs="B Nazanin" w:hint="cs"/>
          <w:rtl/>
          <w:lang w:bidi="fa-IR"/>
        </w:rPr>
        <w:t xml:space="preserve"> دارو های ضد افسردگی سه حلقه ای نشان داده نشده است که علائم افسردگی را کاهش می دهند و می توانند در صورت مصرف بیش از حد سمی باشند، بنابراین استفاده از آنها توصیه نمی شود.</w:t>
      </w:r>
      <w:r w:rsidR="003530A2">
        <w:rPr>
          <w:rFonts w:cs="B Nazanin" w:hint="cs"/>
          <w:rtl/>
          <w:lang w:bidi="fa-IR"/>
        </w:rPr>
        <w:t xml:space="preserve"> </w:t>
      </w:r>
      <w:r w:rsidR="005B17A2">
        <w:rPr>
          <w:rFonts w:cs="B Nazanin" w:hint="cs"/>
          <w:rtl/>
          <w:lang w:bidi="fa-IR"/>
        </w:rPr>
        <w:t>ما نمی دانیم که آیا موکلوبماید، اسید های چرب اشباع نشده امگا3، یا مخمر سنت جان</w:t>
      </w:r>
      <w:r w:rsidR="003530A2">
        <w:rPr>
          <w:rFonts w:cs="B Nazanin" w:hint="cs"/>
          <w:rtl/>
          <w:lang w:bidi="fa-IR"/>
        </w:rPr>
        <w:t xml:space="preserve"> </w:t>
      </w:r>
      <w:r w:rsidR="005B17A2">
        <w:rPr>
          <w:rFonts w:cs="B Nazanin" w:hint="cs"/>
          <w:rtl/>
          <w:lang w:bidi="fa-IR"/>
        </w:rPr>
        <w:t>سودمند هستند</w:t>
      </w:r>
      <w:r w:rsidR="003530A2">
        <w:rPr>
          <w:rFonts w:cs="B Nazanin" w:hint="cs"/>
          <w:rtl/>
          <w:lang w:bidi="fa-IR"/>
        </w:rPr>
        <w:t xml:space="preserve"> یا خیر</w:t>
      </w:r>
      <w:r w:rsidR="005B17A2">
        <w:rPr>
          <w:rFonts w:cs="B Nazanin" w:hint="cs"/>
          <w:rtl/>
          <w:lang w:bidi="fa-IR"/>
        </w:rPr>
        <w:t>.</w:t>
      </w:r>
      <w:r w:rsidR="005B17A2">
        <w:rPr>
          <w:rFonts w:cs="B Nazanin"/>
          <w:lang w:bidi="fa-IR"/>
        </w:rPr>
        <w:t>SSRI</w:t>
      </w:r>
      <w:r w:rsidR="003530A2">
        <w:rPr>
          <w:rFonts w:cs="B Nazanin"/>
          <w:lang w:bidi="fa-IR"/>
        </w:rPr>
        <w:t xml:space="preserve"> </w:t>
      </w:r>
      <w:r w:rsidR="005B17A2">
        <w:rPr>
          <w:rFonts w:cs="B Nazanin" w:hint="cs"/>
          <w:rtl/>
          <w:lang w:bidi="fa-IR"/>
        </w:rPr>
        <w:t xml:space="preserve"> ها به غیر از(فلوکستین) وونلافاکسین با </w:t>
      </w:r>
      <w:r w:rsidR="005B17A2">
        <w:rPr>
          <w:rFonts w:cs="B Nazanin" w:hint="cs"/>
          <w:rtl/>
          <w:lang w:bidi="fa-IR"/>
        </w:rPr>
        <w:lastRenderedPageBreak/>
        <w:t xml:space="preserve">رویداد های جدی مرتبط با خودکشی در افراد زیر 18 سال مرتبط بوده اند.گروهی در کودکان و نوجوانان </w:t>
      </w:r>
      <w:r w:rsidR="005B17A2">
        <w:rPr>
          <w:rFonts w:cs="B Nazanin"/>
          <w:lang w:bidi="fa-IR"/>
        </w:rPr>
        <w:t>CBT</w:t>
      </w:r>
      <w:r w:rsidR="005B17A2">
        <w:rPr>
          <w:rFonts w:cs="B Nazanin" w:hint="cs"/>
          <w:rtl/>
          <w:lang w:bidi="fa-IR"/>
        </w:rPr>
        <w:t xml:space="preserve"> و درمان های بین فردی ممکن است علائم را در افراد مبتلا به افسردگی خفیف تا متوسط بهبود بخشد،</w:t>
      </w:r>
      <w:r w:rsidR="003530A2">
        <w:rPr>
          <w:rFonts w:cs="B Nazanin" w:hint="cs"/>
          <w:rtl/>
          <w:lang w:bidi="fa-IR"/>
        </w:rPr>
        <w:t xml:space="preserve"> </w:t>
      </w:r>
      <w:r w:rsidR="005B17A2">
        <w:rPr>
          <w:rFonts w:cs="B Nazanin" w:hint="cs"/>
          <w:rtl/>
          <w:lang w:bidi="fa-IR"/>
        </w:rPr>
        <w:t>اما ممکن است از عود بیماری جلوگیری نکند.</w:t>
      </w:r>
      <w:r w:rsidR="00804532">
        <w:rPr>
          <w:rFonts w:cs="B Nazanin" w:hint="cs"/>
          <w:rtl/>
          <w:lang w:bidi="fa-IR"/>
        </w:rPr>
        <w:t xml:space="preserve"> ما نمی دانیم که آیا سایر درمان های روانشناختی، فردی، پشتیبانی درمانی گروهی، درمان بین فردی در کودکان، خودیاری هدایت شده و روان درمانی روان پویشی فرد، علائم را بهبود بخشد. ما نمی دانیم که آیا درمان با تشنج الکتریکی یا لیتیوم در کودکان و نوجوانان مبتلا به افسردگی مقاوم به درمان مفید است یا خیر؟</w:t>
      </w:r>
      <w:r w:rsidR="000D6E64">
        <w:rPr>
          <w:rFonts w:cs="B Nazanin" w:hint="cs"/>
          <w:rtl/>
          <w:lang w:bidi="fa-IR"/>
        </w:rPr>
        <w:t xml:space="preserve"> </w:t>
      </w:r>
      <w:r w:rsidR="00804532">
        <w:rPr>
          <w:rFonts w:cs="B Nazanin" w:hint="cs"/>
          <w:rtl/>
          <w:lang w:bidi="fa-IR"/>
        </w:rPr>
        <w:t>اما فلوکستین همراه</w:t>
      </w:r>
      <w:r w:rsidR="00804532">
        <w:rPr>
          <w:rFonts w:cs="B Nazanin"/>
          <w:lang w:bidi="fa-IR"/>
        </w:rPr>
        <w:t>CBT</w:t>
      </w:r>
      <w:r w:rsidR="00804532">
        <w:rPr>
          <w:rFonts w:cs="B Nazanin" w:hint="cs"/>
          <w:rtl/>
          <w:lang w:bidi="fa-IR"/>
        </w:rPr>
        <w:t xml:space="preserve"> مؤثر ترین نوع درمان شناخته شده است.</w:t>
      </w:r>
      <w:r w:rsidR="000D6E64">
        <w:rPr>
          <w:rFonts w:cs="B Nazanin" w:hint="cs"/>
          <w:rtl/>
          <w:lang w:bidi="fa-IR"/>
        </w:rPr>
        <w:t xml:space="preserve"> </w:t>
      </w:r>
      <w:r w:rsidR="00804532">
        <w:rPr>
          <w:rFonts w:cs="B Nazanin" w:hint="cs"/>
          <w:rtl/>
          <w:lang w:bidi="fa-IR"/>
        </w:rPr>
        <w:t xml:space="preserve">اما تحقیقات </w:t>
      </w:r>
      <w:r w:rsidR="000D6E64">
        <w:rPr>
          <w:rFonts w:cs="B Nazanin" w:hint="cs"/>
          <w:rtl/>
          <w:lang w:bidi="fa-IR"/>
        </w:rPr>
        <w:t>ن</w:t>
      </w:r>
      <w:r w:rsidR="00804532">
        <w:rPr>
          <w:rFonts w:cs="B Nazanin" w:hint="cs"/>
          <w:rtl/>
          <w:lang w:bidi="fa-IR"/>
        </w:rPr>
        <w:t>وظهور جدید نشان داده که از نظر رتبه بندی</w:t>
      </w:r>
      <w:r w:rsidR="00804532">
        <w:rPr>
          <w:rFonts w:cs="B Nazanin"/>
          <w:lang w:bidi="fa-IR"/>
        </w:rPr>
        <w:t>SUCRA</w:t>
      </w:r>
      <w:r w:rsidR="00804532">
        <w:rPr>
          <w:rFonts w:cs="B Nazanin" w:hint="cs"/>
          <w:rtl/>
          <w:lang w:bidi="fa-IR"/>
        </w:rPr>
        <w:t xml:space="preserve"> برای مقیاس های شدت علائم، آگوملاتین و پاروکستین بیشترین اثر بخشی را نشان دادند. برای بهبود عملکرد، اسیتالوپرام بالاترین رتبه را داشت و سرترالین در شدت ارزیابی شده توسط پزشک، بهبود برتری نشان داد. تصمیمات بالینی باید اسیتالوپرام را برای بهبود عملکرد و سرترالین را برای موارد شدید که نیاز به کاهش سریع علائم دارند، در اولویت قرار دهند. </w:t>
      </w:r>
      <w:r w:rsidR="007F7C81">
        <w:rPr>
          <w:rFonts w:cs="B Nazanin" w:hint="cs"/>
          <w:rtl/>
          <w:lang w:bidi="fa-IR"/>
        </w:rPr>
        <w:t>اما همانطور که پیش تر ذکر شد، اثرات این طیف از داروها در بلند مدت در نوجوانان مفقود است که با این وجود فلوکستین و</w:t>
      </w:r>
      <w:r w:rsidR="007F7C81">
        <w:rPr>
          <w:rFonts w:cs="B Nazanin"/>
          <w:lang w:bidi="fa-IR"/>
        </w:rPr>
        <w:t>CBT</w:t>
      </w:r>
      <w:r w:rsidR="007F7C81">
        <w:rPr>
          <w:rFonts w:cs="B Nazanin" w:hint="cs"/>
          <w:rtl/>
          <w:lang w:bidi="fa-IR"/>
        </w:rPr>
        <w:t xml:space="preserve"> درمان امن تری محسوب می شوند</w:t>
      </w:r>
    </w:p>
    <w:p w14:paraId="2C3617F7" w14:textId="59E80645" w:rsidR="002107A0" w:rsidRPr="000D6E64" w:rsidRDefault="00ED0179" w:rsidP="000D6E64">
      <w:pPr>
        <w:bidi/>
        <w:spacing w:after="0" w:line="240" w:lineRule="auto"/>
        <w:jc w:val="lowKashida"/>
        <w:outlineLvl w:val="0"/>
        <w:rPr>
          <w:rFonts w:cs="B Nazanin"/>
          <w:lang w:bidi="fa-IR"/>
        </w:rPr>
      </w:pPr>
      <w:r>
        <w:rPr>
          <w:rFonts w:cs="B Nazanin"/>
          <w:rtl/>
          <w:lang w:bidi="fa-IR"/>
        </w:rPr>
        <w:fldChar w:fldCharType="begin" w:fldLock="1"/>
      </w:r>
      <w:r>
        <w:rPr>
          <w:rFonts w:cs="B Nazanin"/>
          <w:lang w:bidi="fa-IR"/>
        </w:rPr>
        <w:instrText>ADDIN CSL_CITATION {"citationItems":[{"id":"ITEM-1","itemData":{"DOI":"10.1016/S2215-0366(20)30137-1","ISSN":"2215-0374 (Electronic)","PMID":"32563306","abstract":"BACKGROUND: Depressive disorders are common in children and adolescents.  Antidepressants, psychotherapies, and their combination are often used in routine clinical practice; however, available evidence on the comparative efficacy and safety of these interventions is inconclusive. Therefore, we sought to compare and rank all available treatment interventions for the acute treatment of depressive disorders in children and adolescents. METHODS: We did a systematic review and network meta-analysis. We searched PubMed, Embase, the Cochrane Central Register of Controlled Trials, Web of Science, PsycINFO, ProQuest, CINAHL, LiLACS, international trial registries, and the websites of regulatory agencies for published and unpublished randomised controlled trials from database inception until Jan 1, 2019. We included placebo-controlled and head-to-head trials of 16 antidepressants, seven psychotherapies, and five combinations of antidepressant and psychotherapy that are used for the acute treatment of children and adolescents (≤18 years old and of both sexes) with depressive disorder diagnosed according to standard operationalised criteria. Trials recruiting participants with treatment-resistant depression, bipolar disorder, psychotic depression, treatment duration of less than 4 weeks, or an overall sample size of fewer than ten patients were excluded. We extracted data following a predefined hierarchy of outcome measures, and assessed risk of bias and certainty of evidence using validated methods. Primary outcomes were efficacy (change in depressive symptoms) and acceptability (treatment discontinuation due to any cause). We estimated summary standardised mean differences (SMDs) or odds ratios (ORs) with credible intervals (CrIs) using network meta-analysis with random effects. This study was registered with PROSPERO, number CRD42015020841. FINDINGS: From 20</w:instrText>
      </w:r>
      <w:r>
        <w:rPr>
          <w:rFonts w:ascii="Arial" w:hAnsi="Arial" w:cs="Arial"/>
          <w:lang w:bidi="fa-IR"/>
        </w:rPr>
        <w:instrText> </w:instrText>
      </w:r>
      <w:r>
        <w:rPr>
          <w:rFonts w:cs="B Nazanin"/>
          <w:lang w:bidi="fa-IR"/>
        </w:rPr>
        <w:instrText>366 publications, we included 71 trials (9510 participants). Depressive disorders in most studies were moderate to severe. In terms of efficacy, fluoxetine plus cognitive behavioural therapy (CBT) was more effective than CBT alone (-0·78, 95% CrI -1·55 to -0·01) and psychodynamic therapy (-1·14, -2·20 to -0·08), but not more effective than fluoxetine alone (-0·22, -0·86 to 0·42). No pharmacotherapy alone was more effective than psychotherapy alone. Only fluoxetine plus CBT and fluoxetine were significantly more effective than pill placebo or psychological controls (SMDs ranged from -1·73 to -0·51); and only…","author":[{"dropping-particle":"","family":"Zhou","given":"Xinyu","non-dropping-particle":"","parse-names":false,"suffix":""},{"dropping-particle":"","family":"Teng","given":"Teng","non-dropping-particle":"","parse-names":false,"suffix":""},{"dropping-particle":"","family":"Zhang","given":"Yuqing","non-dropping-particle":"","parse-names":false,"suffix":""},{"dropping-particle":"","family":"Giovane","given":"Cinzia","non-dropping-particle":"Del","parse-names":false,"suffix":""},{"dropping-particle":"","family":"Furukawa","given":"Toshi A","non-dropping-particle":"","parse-names":false,"suffix":""},{"dropping-particle":"","family":"Weisz","given":"John R","non-dropping-particle":"","parse-names":false,"suffix":""},{"dropping-particle":"","family":"Li","given":"Xuemei","non-dropping-particle":"","parse-names":false,"suffix":""},{"dropping-particle":"","family":"Cuijpers","given":"Pim","non-dropping-particle":"","parse-names":false,"suffix":""},{"dropping-particle":"","family":"Coghill","given":"David","non-dropping-particle":"","parse-names":false,"suffix":""},{"dropping-particle":"","family":"Xiang","given":"Yajie","non-dropping-particle":"","parse-names":false,"suffix":""},{"dropping-particle":"","family":"Hetrick","given":"Sarah E","non-dropping-particle":"","parse-names":false,"suffix":""},{"dropping-particle":"","family":"Leucht","given":"Stefan","non-dropping-particle":"","parse-names":false,"suffix":""},{"dropping-particle":"","family":"Qin","given":"Mengchang","non-dropping-particle":"","parse-names":false,"suffix":""},{"dropping-particle":"","family":"Barth","given":"Jürgen","non-dropping-particle":"","parse-names":false,"suffix":""},{"dropping-particle":"V","family":"Ravindran","given":"Arun","non-dropping-particle":"","parse-names":false,"suffix":""},{"dropping-particle":"","family":"Yang","given":"Lining","non-dropping-particle":"","parse-names":false,"suffix":""},{"dropping-particle":"","family":"Curry","given":"John","non-dropping-particle":"","parse-names":false,"suffix":""},{"dropping-particle":"","family":"Fan","given":"Li","non-dropping-particle":"","parse-names":false,"suffix":""},{"dropping-particle":"","family":"Silva","given":"Susan G","non-dropping-particle":"","parse-names":false,"suffix":""},{"dropping-particle":"","family":"Cipriani","given":"Andrea","non-dropping-particle":"","parse-names":false,"suffix":""},{"dropping-particle":"","family":"Xie","given":"Peng","non-dropping-particle":"","parse-names":false,"suffix":""}],"container-title":"The lancet. Psychiatry","id":"ITEM-1","issue":"7","issued":{"date-parts":[["2020","7"]]},"language":"eng","page":"581-601","publisher-place":"England","title":"Comparative efficacy and acceptability of antidepressants, psychotherapies, and  their combination for acute treatment of children and adolescents with depressive disorder: a systematic review and network meta-analysis.","type":"article-journal","volume":"7"},"uris":["http://www.mendeley.com/documents/?uuid=63cfac2f-8458-4af1-bfbb-369df1117a2a"]},{"id":"ITEM-2","itemData":{"ISSN":"0002-838X (Print)","PMID":"11126856","abstract":"Depression among children and adolescents is common but frequently unrecognized.  It affects 2 percent of prepubertal children and 5 to 8 percent of adolescents. The clinical spectrum of the disease can range from simple sadness to a major depressive or bipolar disorder. Risk factors include a family history of depression and poor school performance. Evaluation should include a complete medical assessment to rule out underlying medical causes. A structured clinical interview and various rating scales such as the Pediatric Symptom Checklist are helpful in determining whether a child or adolescent is depressed. Evidence-based treatment guidelines from the literature are limited. Psychotherapy appears to be useful in most children and adolescents with mild to moderate depression. Tricyclic antidepressants and selective serotonin reuptake inhibitors are medical therapies that have been studied on a limited basis. The latter agents are better tolerated but not necessarily more efficacious. Because the risk of school failure and suicide is quite high in depressed children and adolescents, prompt referral or close collaboration with a mental health professional is often necessary.","author":[{"dropping-particle":"","family":"Son","given":"S E","non-dropping-particle":"","parse-names":false,"suffix":""},{"dropping-particle":"","family":"Kirchner","given":"J T","non-dropping-particle":"","parse-names":false,"suffix":""}],"container-title":"American family physician","id":"ITEM-2","issue":"10","issued":{"date-parts":[["2000","11"]]},"language":"eng","page":"2297-2308,2311-2312","publisher-place":"United States","title":"Depression in children and adolescents.","type":"article-journal","volume":"62"},"uris":["http://www.mendeley.com/documents/?uuid=bf4c0826-36a9-4135-a112-97452eabfd8f"]}],"mendeley":{"formattedCitation":"(Son &amp; Kirchner, 2000; Zhou et al., 2020)","plainTextFormattedCitation":"(Son &amp; Kirchner, 2000; Zhou et al., 2020)","previouslyFormattedCitation":"(Son &amp; Kirchner, 2000; Zhou et al., 2020)"},"properties":{"noteIndex":0},"schema":"https://github.com/citation-style-language/schema/raw/master/csl-citation.json"}</w:instrText>
      </w:r>
      <w:r>
        <w:rPr>
          <w:rFonts w:cs="B Nazanin"/>
          <w:rtl/>
          <w:lang w:bidi="fa-IR"/>
        </w:rPr>
        <w:fldChar w:fldCharType="separate"/>
      </w:r>
      <w:r w:rsidRPr="00ED0179">
        <w:rPr>
          <w:rFonts w:cs="B Nazanin"/>
          <w:noProof/>
          <w:lang w:bidi="fa-IR"/>
        </w:rPr>
        <w:t>(Son &amp; Kirchner, 2000; Zhou et al., 2020)</w:t>
      </w:r>
      <w:r>
        <w:rPr>
          <w:rFonts w:cs="B Nazanin"/>
          <w:rtl/>
          <w:lang w:bidi="fa-IR"/>
        </w:rPr>
        <w:fldChar w:fldCharType="end"/>
      </w:r>
      <w:r>
        <w:rPr>
          <w:rFonts w:cs="B Nazanin" w:hint="cs"/>
          <w:rtl/>
          <w:lang w:bidi="fa-IR"/>
        </w:rPr>
        <w:t xml:space="preserve">. </w:t>
      </w:r>
      <w:r w:rsidR="007F7C81">
        <w:rPr>
          <w:rFonts w:cs="B Nazanin" w:hint="cs"/>
          <w:rtl/>
          <w:lang w:bidi="fa-IR"/>
        </w:rPr>
        <w:t>اولی</w:t>
      </w:r>
      <w:r w:rsidR="0087370A">
        <w:rPr>
          <w:rFonts w:cs="B Nazanin" w:hint="cs"/>
          <w:rtl/>
          <w:lang w:bidi="fa-IR"/>
        </w:rPr>
        <w:t>ن</w:t>
      </w:r>
      <w:r w:rsidR="007F7C81">
        <w:rPr>
          <w:rFonts w:cs="B Nazanin" w:hint="cs"/>
          <w:rtl/>
          <w:lang w:bidi="fa-IR"/>
        </w:rPr>
        <w:t xml:space="preserve"> مطالعه تصادفی و کنترل شده با دارونما در مورد اثر بخشی درمان مداوم با داروهای ضد افسردگی(فلوکستین) در کودکان بیمار مبتلا به افسردگی اساسی است که با 12 هفته درمان حاد، پاسخ کافی داشته اند. فلوکستین در جلوگیری از عود افزایش زمان عود، نسبت به دارونما برتر بود. میزان عود بالا در کودکان و نوجوانان به طور مساوی رخ داده است. در این نمونه، میزان کلی عود در مردان و زنان مشابه بود، اما تأثیر درمان مداوم با فلوکستین در مردان بیشتر بود. به طور مشابه</w:t>
      </w:r>
      <w:r w:rsidR="002107A0">
        <w:rPr>
          <w:rFonts w:cs="B Nazanin" w:hint="cs"/>
          <w:rtl/>
          <w:lang w:bidi="fa-IR"/>
        </w:rPr>
        <w:t xml:space="preserve">، شرکت کنندگانی که در پایان 12 هفته درمان حاد، علائم باقی مانده داشتند و احتمال بیشتری داشت </w:t>
      </w:r>
      <w:r w:rsidR="000D6E64">
        <w:rPr>
          <w:rFonts w:cs="B Nazanin" w:hint="cs"/>
          <w:rtl/>
          <w:lang w:bidi="fa-IR"/>
        </w:rPr>
        <w:t xml:space="preserve"> </w:t>
      </w:r>
      <w:r w:rsidR="002107A0">
        <w:rPr>
          <w:rFonts w:cs="B Nazanin" w:hint="cs"/>
          <w:rtl/>
          <w:lang w:bidi="fa-IR"/>
        </w:rPr>
        <w:t>که در طول 6 ماه بعدی درمان مداوم با فلوکستین و دارونما</w:t>
      </w:r>
      <w:r w:rsidR="000D6E64">
        <w:rPr>
          <w:rFonts w:cs="B Nazanin" w:hint="cs"/>
          <w:rtl/>
          <w:lang w:bidi="fa-IR"/>
        </w:rPr>
        <w:t xml:space="preserve"> در معیار عود کنندگی </w:t>
      </w:r>
      <w:r w:rsidR="000D6E64">
        <w:rPr>
          <w:rFonts w:cs="Calibri"/>
          <w:lang w:bidi="fa-IR"/>
        </w:rPr>
        <w:t>;</w:t>
      </w:r>
      <w:r w:rsidR="000D6E64">
        <w:rPr>
          <w:rFonts w:cs="B Nazanin" w:hint="cs"/>
          <w:rtl/>
          <w:lang w:bidi="fa-IR"/>
        </w:rPr>
        <w:t xml:space="preserve"> </w:t>
      </w:r>
      <w:r w:rsidR="002107A0">
        <w:rPr>
          <w:rFonts w:cs="B Nazanin" w:hint="cs"/>
          <w:rtl/>
          <w:lang w:bidi="fa-IR"/>
        </w:rPr>
        <w:t>فلوکستین در پیشگیری از عود(در مقایسه با دارونما)در کسانی که در پایان درمان حاد، علائم باقی مانده نداشتند، بیشترین تأثیر را داشت. مطالعه نشان می دهد که برای جلوگیری از عود بیماری، ادامه درمان فراتر از بهبودی علائم ضروری است، که نشان می دهد دستورالعمل بزرگسالان که 6 تا 9 ماه درمان کلی برای افسردگی اساسی را توصیه می کنند که به طور یکسان برای کودکان و نوجوانان نیز اعمال می شود. همچنین این واقعیت را تقویت می کند که افسردگی زودرس با میزان بالای عود بیماری مرتبط است، حتی اگر اکثر شرکت کنندگان در این نمونه در اولین دوره افسردگی اساسی خود بودند. علاوه بر این، نتایج از اثر بخشی فلوکستین نسبت به دارونما پشتیبانی می کند،</w:t>
      </w:r>
      <w:r w:rsidR="00882F39">
        <w:rPr>
          <w:rFonts w:cs="B Nazanin" w:hint="cs"/>
          <w:rtl/>
          <w:lang w:bidi="fa-IR"/>
        </w:rPr>
        <w:t xml:space="preserve"> البته از طرحی که معمولاً برای اثبات اثر بخشی استفاده نمی شو</w:t>
      </w:r>
      <w:r>
        <w:rPr>
          <w:rFonts w:cs="B Nazanin" w:hint="cs"/>
          <w:rtl/>
          <w:lang w:bidi="fa-IR"/>
        </w:rPr>
        <w:t>د</w:t>
      </w:r>
      <w:r>
        <w:rPr>
          <w:rFonts w:cs="B Nazanin"/>
          <w:rtl/>
          <w:lang w:bidi="fa-IR"/>
        </w:rPr>
        <w:fldChar w:fldCharType="begin" w:fldLock="1"/>
      </w:r>
      <w:r w:rsidR="00917851">
        <w:rPr>
          <w:rFonts w:cs="B Nazanin"/>
          <w:lang w:bidi="fa-IR"/>
        </w:rPr>
        <w:instrText>ADDIN CSL_CITATION {"citationItems":[{"id":"ITEM-1","itemData":{"DOI":"10.1176/appi.ajp.2007.07091453","ISSN":"0002-953X (Print)","PMID":"18281410","abstract":"OBJECTIVE: The authors compared fluoxetine and placebo in continuation treatment  to prevent relapse of major depressive disorder in children and adolescents. METHOD: After a detailed evaluation, children and adolescents 7-18 years of age with major depressive disorder were treated openly with fluoxetine. Those who had an adequate response after 12 weeks, as indicated by a Clinical Global Impression improvement score of 1 or 2 and a decrease of at least 50% in Children's Depression Rating Scale-Revised score, were randomly assigned to receive fluoxetine or placebo for an additional 6 months. The primary outcome measures were relapse and time to relapse. Relapse was defined as either a score of 40 or higher on the Children's Depression Rating Scale with a history of 2 weeks of clinical deterioration, or clinical deterioration as judged by the clinician. Additional analyses were conducted with relapse defined only as a score of 40 or higher on the Children's Depression Rating Scale. RESULTS: Of 168 participants enrolled in acute fluoxetine treatment, 102 were randomly assigned to continuation treatment with fluoxetine (N=50) or placebo (N=52). Of these, 21 participants (42.0%) in the fluoxetine group relapsed, compared with 36 (69.2%) in the placebo group, a significant difference. Similarly, under the stricter definition of relapse, fewer participants in the fluoxetine group relapsed (N=11; 22.0%) than in the placebo group (N=25; 48.1%). Time to relapse was significantly shorter in the placebo group. CONCLUSIONS: Continuation treatment with fluoxetine was superior to placebo in preventing relapse and in increasing time to relapse in children and adolescents with major depression.","author":[{"dropping-particle":"","family":"Emslie","given":"Graham J","non-dropping-particle":"","parse-names":false,"suffix":""},{"dropping-particle":"","family":"Kennard","given":"Beth D","non-dropping-particle":"","parse-names":false,"suffix":""},{"dropping-particle":"","family":"Mayes","given":"Taryn L","non-dropping-particle":"","parse-names":false,"suffix":""},{"dropping-particle":"","family":"Nightingale-Teresi","given":"Jeanne","non-dropping-particle":"","parse-names":false,"suffix":""},{"dropping-particle":"","family":"Carmody","given":"Thomas","non-dropping-particle":"","parse-names":false,"suffix":""},{"dropping-particle":"","family":"Hughes","given":"Carroll W","non-dropping-particle":"","parse-names":false,"suffix":""},{"dropping-particle":"","family":"Rush","given":"A John","non-dropping-particle":"","parse-names":false,"suffix":""},{"dropping-particle":"","family":"Tao","given":"Rongrong","non-dropping-particle":"","parse-names":false,"suffix":""},{"dropping-particle":"","family":"Rintelmann","given":"Jeanne W","non-dropping-particle":"","parse-names":false,"suffix":""}],"container-title":"The American journal of psychiatry","id":"ITEM-1","issue":"4","issued":{"date-parts":[["2008","4"]]},"language":"eng","page":"459-467","publisher-place":"United States","title":"Fluoxetine versus placebo in preventing relapse of major depression in children  and adolescents.","type":"article-journal","volume":"165"},"uris":["http://www.mendeley.com/documents/?uuid=db93935d-0448-4b1f-93d8-0851f5a9f47a"]}],"mendeley":{"formattedCitation":"(Emslie et al., 2008)","plainTextFormattedCitation":"(Emslie et al., 2008)","previouslyFormattedCitation":"(Emslie et al., 2008)"},"properties":{"noteIndex":0},"schema":"https://github.com/citation-style-language/schema/raw/master/csl-citation.json"}</w:instrText>
      </w:r>
      <w:r>
        <w:rPr>
          <w:rFonts w:cs="B Nazanin"/>
          <w:rtl/>
          <w:lang w:bidi="fa-IR"/>
        </w:rPr>
        <w:fldChar w:fldCharType="separate"/>
      </w:r>
      <w:r w:rsidRPr="00ED0179">
        <w:rPr>
          <w:rFonts w:cs="B Nazanin"/>
          <w:noProof/>
          <w:lang w:bidi="fa-IR"/>
        </w:rPr>
        <w:t>(Emslie et al., 2008)</w:t>
      </w:r>
      <w:r>
        <w:rPr>
          <w:rFonts w:cs="B Nazanin"/>
          <w:rtl/>
          <w:lang w:bidi="fa-IR"/>
        </w:rPr>
        <w:fldChar w:fldCharType="end"/>
      </w:r>
      <w:r>
        <w:rPr>
          <w:rFonts w:cs="B Nazanin" w:hint="cs"/>
          <w:sz w:val="32"/>
          <w:szCs w:val="32"/>
          <w:rtl/>
          <w:lang w:bidi="fa-IR"/>
        </w:rPr>
        <w:t>.</w:t>
      </w:r>
    </w:p>
    <w:p w14:paraId="2805CAE0" w14:textId="77777777" w:rsidR="00882F39" w:rsidRDefault="00882F39" w:rsidP="001D0E59">
      <w:pPr>
        <w:bidi/>
        <w:spacing w:after="0" w:line="240" w:lineRule="auto"/>
        <w:jc w:val="lowKashida"/>
        <w:outlineLvl w:val="0"/>
        <w:rPr>
          <w:rFonts w:cs="B Nazanin"/>
          <w:sz w:val="32"/>
          <w:szCs w:val="32"/>
          <w:rtl/>
          <w:lang w:bidi="fa-IR"/>
        </w:rPr>
      </w:pPr>
    </w:p>
    <w:p w14:paraId="4656961A" w14:textId="4282853A" w:rsidR="00882F39" w:rsidRDefault="00882F39" w:rsidP="001D0E59">
      <w:pPr>
        <w:bidi/>
        <w:spacing w:after="0" w:line="240" w:lineRule="auto"/>
        <w:jc w:val="lowKashida"/>
        <w:outlineLvl w:val="0"/>
        <w:rPr>
          <w:rFonts w:cs="B Nazanin"/>
          <w:b/>
          <w:bCs/>
          <w:rtl/>
          <w:lang w:bidi="fa-IR"/>
        </w:rPr>
      </w:pPr>
      <w:r>
        <w:rPr>
          <w:rFonts w:cs="B Nazanin" w:hint="cs"/>
          <w:b/>
          <w:bCs/>
          <w:rtl/>
          <w:lang w:bidi="fa-IR"/>
        </w:rPr>
        <w:t>1-افسردگی اساسی</w:t>
      </w:r>
    </w:p>
    <w:p w14:paraId="675C5755" w14:textId="16534836" w:rsidR="005C117F" w:rsidRDefault="007A28A6" w:rsidP="005C117F">
      <w:pPr>
        <w:bidi/>
        <w:spacing w:after="0" w:line="240" w:lineRule="auto"/>
        <w:jc w:val="lowKashida"/>
        <w:outlineLvl w:val="0"/>
        <w:rPr>
          <w:rFonts w:cs="B Nazanin"/>
          <w:rtl/>
          <w:lang w:bidi="fa-IR"/>
        </w:rPr>
      </w:pPr>
      <w:r>
        <w:rPr>
          <w:rFonts w:cs="B Nazanin" w:hint="cs"/>
          <w:rtl/>
          <w:lang w:bidi="fa-IR"/>
        </w:rPr>
        <w:t xml:space="preserve">افسردگی گروه بزرگی از اختلالات روانپزشکی را تشکیل می دهد که طبقه بندی و اصطلاحات دقیق آنها در ابتدا می تواند گیج کننده باشد. در این </w:t>
      </w:r>
      <w:r w:rsidR="00B02C47">
        <w:rPr>
          <w:rFonts w:cs="B Nazanin" w:hint="cs"/>
          <w:rtl/>
          <w:lang w:bidi="fa-IR"/>
        </w:rPr>
        <w:t>ضمیمه، ما عمداً در مورد اختلال افسردگی اساسی بحث خواهیم کرد. در افسردگی اساسی 5 علامت تقریباً هر روز در طول یک دوره 2 هفته ای وجود دارد. خلق افسردگی در بیشتر ساعات روز، فقدان لذت یا کاهش قابل توجه علاقه یا لذت در فرد، کنترل نگرانی را دشوار می بیند. کاهش وزن یا افزایش یا کاهش اشتها به صورت بی خوابی یا پر خوابی، آشفتگی یا کندی روانی</w:t>
      </w:r>
      <w:r w:rsidR="00B02C47">
        <w:rPr>
          <w:rFonts w:cs="Calibri" w:hint="cs"/>
          <w:rtl/>
          <w:lang w:bidi="fa-IR"/>
        </w:rPr>
        <w:t>_</w:t>
      </w:r>
      <w:r w:rsidR="00B02C47">
        <w:rPr>
          <w:rFonts w:cs="B Nazanin" w:hint="cs"/>
          <w:rtl/>
          <w:lang w:bidi="fa-IR"/>
        </w:rPr>
        <w:t>حرکتی، خستگی یا از دست دادن انرژی، احساس بی ارزشی یا احساس گناه بیش از حد، کاهش توانایی فکر یا تمرکز یا بلاتکلیفی، افکار مکرر مرگ یا خودکشی باعث ناراحتی یا اختلال قابل توجه بالینی عملکرد می شوند. علائم ناشی از عامل پزشکی، عضلانی یا بیماری این اختلال با اختلال روانی بهتر دیگری قابل توجیه نیستند. به نظر می رسد</w:t>
      </w:r>
      <w:r w:rsidR="000164EB">
        <w:rPr>
          <w:rFonts w:cs="B Nazanin"/>
          <w:lang w:bidi="fa-IR"/>
        </w:rPr>
        <w:t>SSRI</w:t>
      </w:r>
      <w:r w:rsidR="000164EB">
        <w:rPr>
          <w:rFonts w:cs="B Nazanin" w:hint="cs"/>
          <w:rtl/>
          <w:lang w:bidi="fa-IR"/>
        </w:rPr>
        <w:t xml:space="preserve"> ها در مقایسه با دارونما، اثرات آماری معنی داری بر علائم افسردگی دارند، اما اهمیت بالینی این اثرات جای سؤال دارد و همه کارآزمایی ها در پژوهش های انجام شده در معرض خطر بالای سوگیری بودند. علاوه بر این، </w:t>
      </w:r>
      <w:r w:rsidR="000164EB">
        <w:rPr>
          <w:rFonts w:cs="B Nazanin"/>
          <w:lang w:bidi="fa-IR"/>
        </w:rPr>
        <w:t>SSRI</w:t>
      </w:r>
      <w:r w:rsidR="000164EB">
        <w:rPr>
          <w:rFonts w:cs="B Nazanin" w:hint="cs"/>
          <w:rtl/>
          <w:lang w:bidi="fa-IR"/>
        </w:rPr>
        <w:t xml:space="preserve"> ها در مقایسه با دارونما، خطر عوارض جانبی جدی و غیر جدی را به طور قابل توجهی افزایش می دهد. نتایج نشان می دهد که اثرات مضر </w:t>
      </w:r>
      <w:r w:rsidR="000164EB">
        <w:rPr>
          <w:rFonts w:cs="B Nazanin"/>
          <w:lang w:bidi="fa-IR"/>
        </w:rPr>
        <w:t>SSRI</w:t>
      </w:r>
      <w:r w:rsidR="000164EB">
        <w:rPr>
          <w:rFonts w:cs="B Nazanin" w:hint="cs"/>
          <w:rtl/>
          <w:lang w:bidi="fa-IR"/>
        </w:rPr>
        <w:t xml:space="preserve"> ها در مقایسه با دارونما برای اختلال </w:t>
      </w:r>
      <w:r w:rsidR="000164EB">
        <w:rPr>
          <w:rFonts w:cs="B Nazanin" w:hint="cs"/>
          <w:rtl/>
          <w:lang w:bidi="fa-IR"/>
        </w:rPr>
        <w:lastRenderedPageBreak/>
        <w:t xml:space="preserve">افسردگی اساسی، به نظر می رسد از هرگونه اثر مفید بالقوه کوچک، بیشتر است. همه داروهای ضد افسردگی در بزرگسالان مبتلا به اختلال افسردگی اساسی، نسبت به دارونما اثر بخشی بیشتری داشتند، مخصوصاً داروهایی مثل فلوکستین و پاروکسین تأثیرات </w:t>
      </w:r>
    </w:p>
    <w:p w14:paraId="47032695" w14:textId="77777777" w:rsidR="005C117F" w:rsidRDefault="000164EB" w:rsidP="005C117F">
      <w:pPr>
        <w:bidi/>
        <w:spacing w:after="0" w:line="240" w:lineRule="auto"/>
        <w:jc w:val="lowKashida"/>
        <w:outlineLvl w:val="0"/>
        <w:rPr>
          <w:rFonts w:cs="B Nazanin"/>
          <w:rtl/>
          <w:lang w:bidi="fa-IR"/>
        </w:rPr>
      </w:pPr>
      <w:r>
        <w:rPr>
          <w:rFonts w:cs="B Nazanin" w:hint="cs"/>
          <w:rtl/>
          <w:lang w:bidi="fa-IR"/>
        </w:rPr>
        <w:t>قابل توجه تری نسبت به سرترالین، ونلافاکسین و سیتالوپرام داشته است.</w:t>
      </w:r>
      <w:r w:rsidR="009A5637">
        <w:rPr>
          <w:rFonts w:cs="B Nazanin"/>
          <w:rtl/>
          <w:lang w:bidi="fa-IR"/>
        </w:rPr>
        <w:t xml:space="preserve"> </w:t>
      </w:r>
    </w:p>
    <w:p w14:paraId="734A1567" w14:textId="14060BE6" w:rsidR="00882F39" w:rsidRDefault="00917851" w:rsidP="005C117F">
      <w:pPr>
        <w:bidi/>
        <w:spacing w:after="0" w:line="240" w:lineRule="auto"/>
        <w:jc w:val="lowKashida"/>
        <w:outlineLvl w:val="0"/>
        <w:rPr>
          <w:rFonts w:cs="B Nazanin"/>
          <w:rtl/>
          <w:lang w:bidi="fa-IR"/>
        </w:rPr>
      </w:pPr>
      <w:r>
        <w:rPr>
          <w:rFonts w:cs="B Nazanin"/>
          <w:rtl/>
          <w:lang w:bidi="fa-IR"/>
        </w:rPr>
        <w:fldChar w:fldCharType="begin" w:fldLock="1"/>
      </w:r>
      <w:r w:rsidR="009A5637">
        <w:rPr>
          <w:rFonts w:cs="B Nazanin"/>
          <w:lang w:bidi="fa-IR"/>
        </w:rPr>
        <w:instrText>ADDIN CSL_CITATION {"citationItems":[{"id":"ITEM-1","itemData":{"DOI":"10.1016/S0140-6736(17)32802-7","ISSN":"1474-547X (Electronic)","PMID":"29477251","abstract":"BACKGROUND: Major depressive disorder is one of the most common, burdensome, and  costly psychiatric disorders worldwide in adults. Pharmacological and non-pharmacological treatments are available; however, because of inadequate resources, antidepressants are used more frequently than psychological interventions. Prescription of these agents should be informed by the best available evidence. Therefore, we aimed to update and expand our previous work to compare and rank antidepressants for the acute treatment of adults with unipolar major depressive disorder. METHODS: We did a systematic review and network meta-analysis. We searched Cochrane Central Register of Controlled Trials, CINAHL, Embase, LILACS database, MEDLINE, MEDLINE In-Process, PsycINFO, the websites of regulatory agencies, and international registers for published and unpublished, double-blind, randomised controlled trials from their inception to Jan 8, 2016. We included placebo-controlled and head-to-head trials of 21 antidepressants used for the acute treatment of adults (≥18 years old and of both sexes) with major depressive disorder diagnosed according to standard operationalised criteria. We excluded quasi-randomised trials and trials that were incomplete or included 20% or more of participants with bipolar disorder, psychotic depression, or treatment-resistant depression; or patients with a serious concomitant medical illness. We extracted data following a predefined hierarchy. In network meta-analysis, we used group-level data. We assessed the studies' risk of bias in accordance to the Cochrane Handbook for Systematic Reviews of Interventions, and certainty of evidence using the Grading of Recommendations Assessment, Development and Evaluation framework. Primary outcomes were efficacy (response rate) and acceptability (treatment discontinuations due to any cause). We estimated summary odds ratios (ORs) using pairwise and network meta-analysis with random effects. This study is registered with PROSPERO, number CRD42012002291. FINDINGS: We identified 28</w:instrText>
      </w:r>
      <w:r w:rsidR="009A5637">
        <w:rPr>
          <w:rFonts w:ascii="Arial" w:hAnsi="Arial" w:cs="Arial"/>
          <w:lang w:bidi="fa-IR"/>
        </w:rPr>
        <w:instrText> </w:instrText>
      </w:r>
      <w:r w:rsidR="009A5637">
        <w:rPr>
          <w:rFonts w:cs="B Nazanin"/>
          <w:lang w:bidi="fa-IR"/>
        </w:rPr>
        <w:instrText>552 citations and of these included 522 trials comprising 116</w:instrText>
      </w:r>
      <w:r w:rsidR="009A5637">
        <w:rPr>
          <w:rFonts w:ascii="Arial" w:hAnsi="Arial" w:cs="Arial"/>
          <w:lang w:bidi="fa-IR"/>
        </w:rPr>
        <w:instrText> </w:instrText>
      </w:r>
      <w:r w:rsidR="009A5637">
        <w:rPr>
          <w:rFonts w:cs="B Nazanin"/>
          <w:lang w:bidi="fa-IR"/>
        </w:rPr>
        <w:instrText>477 participants. In terms of efficacy, all antidepressants were more effective than placebo, with ORs ranging between 2</w:instrText>
      </w:r>
      <w:r w:rsidR="009A5637">
        <w:rPr>
          <w:rFonts w:ascii="Aptos" w:hAnsi="Aptos" w:cs="Aptos"/>
          <w:lang w:bidi="fa-IR"/>
        </w:rPr>
        <w:instrText>·</w:instrText>
      </w:r>
      <w:r w:rsidR="009A5637">
        <w:rPr>
          <w:rFonts w:cs="B Nazanin"/>
          <w:lang w:bidi="fa-IR"/>
        </w:rPr>
        <w:instrText>13 (95% credible interval [CrI] 1</w:instrText>
      </w:r>
      <w:r w:rsidR="009A5637">
        <w:rPr>
          <w:rFonts w:ascii="Aptos" w:hAnsi="Aptos" w:cs="Aptos"/>
          <w:lang w:bidi="fa-IR"/>
        </w:rPr>
        <w:instrText>·</w:instrText>
      </w:r>
      <w:r w:rsidR="009A5637">
        <w:rPr>
          <w:rFonts w:cs="B Nazanin"/>
          <w:lang w:bidi="fa-IR"/>
        </w:rPr>
        <w:instrText>89-2</w:instrText>
      </w:r>
      <w:r w:rsidR="009A5637">
        <w:rPr>
          <w:rFonts w:ascii="Aptos" w:hAnsi="Aptos" w:cs="Aptos"/>
          <w:lang w:bidi="fa-IR"/>
        </w:rPr>
        <w:instrText>·</w:instrText>
      </w:r>
      <w:r w:rsidR="009A5637">
        <w:rPr>
          <w:rFonts w:cs="B Nazanin"/>
          <w:lang w:bidi="fa-IR"/>
        </w:rPr>
        <w:instrText>41) for amitriptyline and 1</w:instrText>
      </w:r>
      <w:r w:rsidR="009A5637">
        <w:rPr>
          <w:rFonts w:ascii="Aptos" w:hAnsi="Aptos" w:cs="Aptos"/>
          <w:lang w:bidi="fa-IR"/>
        </w:rPr>
        <w:instrText>·</w:instrText>
      </w:r>
      <w:r w:rsidR="009A5637">
        <w:rPr>
          <w:rFonts w:cs="B Nazanin"/>
          <w:lang w:bidi="fa-IR"/>
        </w:rPr>
        <w:instrText>37 (1</w:instrText>
      </w:r>
      <w:r w:rsidR="009A5637">
        <w:rPr>
          <w:rFonts w:ascii="Aptos" w:hAnsi="Aptos" w:cs="Aptos"/>
          <w:lang w:bidi="fa-IR"/>
        </w:rPr>
        <w:instrText>·</w:instrText>
      </w:r>
      <w:r w:rsidR="009A5637">
        <w:rPr>
          <w:rFonts w:cs="B Nazanin"/>
          <w:lang w:bidi="fa-IR"/>
        </w:rPr>
        <w:instrText>16-1</w:instrText>
      </w:r>
      <w:r w:rsidR="009A5637">
        <w:rPr>
          <w:rFonts w:ascii="Aptos" w:hAnsi="Aptos" w:cs="Aptos"/>
          <w:lang w:bidi="fa-IR"/>
        </w:rPr>
        <w:instrText>·</w:instrText>
      </w:r>
      <w:r w:rsidR="009A5637">
        <w:rPr>
          <w:rFonts w:cs="B Nazanin"/>
          <w:lang w:bidi="fa-IR"/>
        </w:rPr>
        <w:instrText>63) for reboxetine. For acceptability, only agomelatine (OR 0</w:instrText>
      </w:r>
      <w:r w:rsidR="009A5637">
        <w:rPr>
          <w:rFonts w:ascii="Aptos" w:hAnsi="Aptos" w:cs="Aptos"/>
          <w:lang w:bidi="fa-IR"/>
        </w:rPr>
        <w:instrText>·</w:instrText>
      </w:r>
      <w:r w:rsidR="009A5637">
        <w:rPr>
          <w:rFonts w:cs="B Nazanin"/>
          <w:lang w:bidi="fa-IR"/>
        </w:rPr>
        <w:instrText>84, 95% CrI 0</w:instrText>
      </w:r>
      <w:r w:rsidR="009A5637">
        <w:rPr>
          <w:rFonts w:ascii="Aptos" w:hAnsi="Aptos" w:cs="Aptos"/>
          <w:lang w:bidi="fa-IR"/>
        </w:rPr>
        <w:instrText>·</w:instrText>
      </w:r>
      <w:r w:rsidR="009A5637">
        <w:rPr>
          <w:rFonts w:cs="B Nazanin"/>
          <w:lang w:bidi="fa-IR"/>
        </w:rPr>
        <w:instrText>72-0·97) and fluoxetine (0·88, 0·80-0·96) were associated with fewer dropouts than placebo, whereas clo…","author":[{"dropping-particle":"","family":"Cipriani","given":"Andrea","non-dropping-particle":"","parse-names":false,"suffix":""},{"dropping-particle":"","family":"Furukawa","given":"Toshi A","non-dropping-particle":"","parse-names":false,"suffix":""},{"dropping-particle":"","family":"Salanti","given":"Georgia","non-dropping-particle":"","parse-names":false,"suffix":""},{"dropping-particle":"","family":"Chaimani","given":"Anna","non-dropping-particle":"","parse-names":false,"suffix":""},{"dropping-particle":"","family":"Atkinson","given":"Lauren Z","non-dropping-particle":"","parse-names":false,"suffix":""},{"dropping-particle":"","family":"Ogawa","given":"Yusuke","non-dropping-particle":"","parse-names":false,"suffix":""},{"dropping-particle":"","family":"Leucht","given":"Stefan","non-dropping-particle":"","parse-names":false,"suffix":""},{"dropping-particle":"","family":"Ruhe","given":"Henricus G","non-dropping-particle":"","parse-names":false,"suffix":""},{"dropping-particle":"","family":"Turner","given":"Erick H","non-dropping-particle":"","parse-names":false,"suffix":""},{"dropping-particle":"","family":"Higgins","given":"Julian P T","non-dropping-particle":"","parse-names":false,"suffix":""},{"dropping-particle":"","family":"Egger","given":"Matthias","non-dropping-particle":"","parse-names":false,"suffix":""},{"dropping-particle":"","family":"Takeshima","given":"Nozomi","non-dropping-particle":"","parse-names":false,"suffix":""},{"dropping-particle":"","family":"Hayasaka","given":"Yu","non-dropping-particle":"","parse-names":false,"suffix":""},{"dropping-particle":"","family":"Imai","given":"Hissei","non-dropping-particle":"","parse-names":false,"suffix":""},{"dropping-particle":"","family":"Shinohara","given":"Kiyomi","non-dropping-particle":"","parse-names":false,"suffix":""},{"dropping-particle":"","family":"Tajika","given":"Aran","non-dropping-particle":"","parse-names":false,"suffix":""},{"dropping-particle":"","family":"Ioannidis","given":"John P A","non-dropping-particle":"","parse-names":false,"suffix":""},{"dropping-particle":"","family":"Geddes","given":"John R","non-dropping-particle":"","parse-names":false,"suffix":""}],"container-title":"Lancet (London, England)","id":"ITEM-1","issue":"10128","issued":{"date-parts":[["2018","4"]]},"language":"eng","page":"1357-1366","publisher-place":"England","title":"Comparative efficacy and acceptability of 21 antidepressant drugs for the acute  treatment of adults with major depressive disorder: a systematic review and network meta-analysis.","type":"article-journal","volume":"391"},"uris":["http://www.mendeley.com/documents/?uuid=2f7e147b-ef4f-47f9-b88d-6eefe575473b"]},{"id":"ITEM-2","itemData":{"DOI":"10.1371/journal.pmed.0050045","ISSN":"1549-1676 (Electronic)","PMID":"18303940","abstract":"BACKGROUND: Meta-analyses of antidepressant medications have reported only modest  benefits over placebo treatment, and when unpublished trial data are included, the benefit falls below accepted criteria for clinical significance. Yet, the efficacy of the antidepressants may also depend on the severity of initial depression scores. The purpose of this analysis is to establish the relation of baseline severity and antidepressant efficacy using a relevant dataset of published and unpublished clinical trials. METHODS AND FINDINGS: We obtained data on all clinical trials submitted to the US Food and Drug Administration (FDA) for the licensing of the four new-generation antidepressants for which full datasets were available. We then used meta-analytic techniques to assess linear and quadratic effects of initial severity on improvement scores for drug and placebo groups and on drug-placebo difference scores. Drug-placebo differences increased as a function of initial severity, rising from virtually no difference at moderate levels of initial depression to a relatively small difference for patients with very severe depression, reaching conventional criteria for clinical significance only for patients at the upper end of the very severely depressed category. Meta-regression analyses indicated that the relation of baseline severity and improvement was curvilinear in drug groups and showed a strong, negative linear component in placebo groups. CONCLUSIONS: Drug-placebo differences in antidepressant efficacy increase as a function of baseline severity, but are relatively small even for severely depressed patients. The relationship between initial severity and antidepressant efficacy is attributable to decreased responsiveness to placebo among very severely depressed patients, rather than to increased responsiveness to medication.","author":[{"dropping-particle":"","family":"Kirsch","given":"Irving","non-dropping-particle":"","parse-names":false,"suffix":""},{"dropping-particle":"","family":"Deacon","given":"Brett J","non-dropping-particle":"","parse-names":false,"suffix":""},{"dropping-particle":"","family":"Huedo-Medina","given":"Tania B","non-dropping-particle":"","parse-names":false,"suffix":""},{"dropping-particle":"","family":"Scoboria","given":"Alan","non-dropping-particle":"","parse-names":false,"suffix":""},{"dropping-particle":"","family":"Moore","given":"Thomas J","non-dropping-particle":"","parse-names":false,"suffix":""},{"dropping-particle":"","family":"Johnson","given":"Blair T","non-dropping-particle":"","parse-names":false,"suffix":""}],"container-title":"PLoS medicine","id":"ITEM-2","issue":"2","issued":{"date-parts":[["2008","2"]]},"language":"eng","page":"e45","publisher-place":"United States","title":"Initial severity and antidepressant benefits: a meta-analysis of data submitted  to the Food and Drug Administration.","type":"article-journal","volume":"5"},"uris":["http://www.mendeley.com/documents/?uuid=4adb549c-d663-4391-9bf8-d28de52d3fba"]},{"id":"ITEM-3","itemData":{"DOI":"10.1007/s12325-021-01859-8","ISSN":"1865-8652 (Electronic)","PMID":"34417991","author":[{"dropping-particle":"","family":"Goodwin","given":"Guy M","non-dropping-particle":"","parse-names":false,"suffix":""},{"dropping-particle":"","family":"Stein","given":"Dan J","non-dropping-particle":"","parse-names":false,"suffix":""}],"container-title":"Advances in therapy","id":"ITEM-3","issue":"Suppl 2","issued":{"date-parts":[["2021","9"]]},"language":"eng","page":"45-51","publisher-place":"United States","title":"Generalised Anxiety Disorder and Depression: Contemporary Treatment Approaches.","type":"article","volume":"38"},"uris":["http://www.mendeley.com/documents/?uuid=27d58e0c-24db-4631-98b1-a0743b814151"]},{"id":"ITEM-4","itemData":{"DOI":"10.1186/s12888-016-1173-2","ISSN":"1471-244X (Electronic)","PMID":"28178949","abstract":"BACKGROUND: The evidence on selective serotonin reuptake inhibitors (SSRIs) for  major depressive disorder is unclear. METHODS: Our objective was to conduct a systematic review assessing the effects of SSRIs versus placebo, 'active' placebo, or no intervention in adult participants with major depressive disorder. We searched for eligible randomised clinical trials in The Cochrane Library's CENTRAL, PubMed, EMBASE, PsycLIT, PsycINFO, Science Citation Index Expanded, clinical trial registers of Europe and USA, websites of pharmaceutical companies, the U.S. Food and Drug Administration (FDA), and the European Medicines Agency until January 2016. All data were extracted by at least two independent investigators. We used Cochrane systematic review methodology, Trial Sequential Analysis, and calculation of Bayes factor. An eight-step procedure was followed to assess if thresholds for statistical and clinical significance were crossed. Primary outcomes were reduction of depressive symptoms, remission, and adverse events. Secondary outcomes were suicides, suicide attempts, suicide ideation, and quality of life. RESULTS: A total of 131 randomised placebo-controlled trials enrolling a total of 27,422 participants were included. None of the trials used 'active' placebo or no intervention as control intervention. All trials had high risk of bias. SSRIs significantly reduced the Hamilton Depression Rating Scale (HDRS) at end of treatment (mean difference -1.94 HDRS points; 95% CI -2.50 to -1.37; P</w:instrText>
      </w:r>
      <w:r w:rsidR="009A5637">
        <w:rPr>
          <w:rFonts w:ascii="Arial" w:hAnsi="Arial" w:cs="Arial"/>
          <w:lang w:bidi="fa-IR"/>
        </w:rPr>
        <w:instrText> </w:instrText>
      </w:r>
      <w:r w:rsidR="009A5637">
        <w:rPr>
          <w:rFonts w:cs="B Nazanin"/>
          <w:lang w:bidi="fa-IR"/>
        </w:rPr>
        <w:instrText>&lt;</w:instrText>
      </w:r>
      <w:r w:rsidR="009A5637">
        <w:rPr>
          <w:rFonts w:ascii="Arial" w:hAnsi="Arial" w:cs="Arial"/>
          <w:lang w:bidi="fa-IR"/>
        </w:rPr>
        <w:instrText> </w:instrText>
      </w:r>
      <w:r w:rsidR="009A5637">
        <w:rPr>
          <w:rFonts w:cs="B Nazanin"/>
          <w:lang w:bidi="fa-IR"/>
        </w:rPr>
        <w:instrText>0.00001; 49 trials; Trial Sequential Analysis-adjusted CI -2.70 to -1.18); Bayes factor below predefined threshold (2.01*10(-23)). The effect estimate, however, was below our predefined threshold for clinical significance of 3 HDRS points. SSRIs significantly decreased the risk of no remission (RR 0.88; 95% CI 0.84 to 0.91; P</w:instrText>
      </w:r>
      <w:r w:rsidR="009A5637">
        <w:rPr>
          <w:rFonts w:ascii="Arial" w:hAnsi="Arial" w:cs="Arial"/>
          <w:lang w:bidi="fa-IR"/>
        </w:rPr>
        <w:instrText> </w:instrText>
      </w:r>
      <w:r w:rsidR="009A5637">
        <w:rPr>
          <w:rFonts w:cs="B Nazanin"/>
          <w:lang w:bidi="fa-IR"/>
        </w:rPr>
        <w:instrText>&lt;</w:instrText>
      </w:r>
      <w:r w:rsidR="009A5637">
        <w:rPr>
          <w:rFonts w:ascii="Arial" w:hAnsi="Arial" w:cs="Arial"/>
          <w:lang w:bidi="fa-IR"/>
        </w:rPr>
        <w:instrText> </w:instrText>
      </w:r>
      <w:r w:rsidR="009A5637">
        <w:rPr>
          <w:rFonts w:cs="B Nazanin"/>
          <w:lang w:bidi="fa-IR"/>
        </w:rPr>
        <w:instrText>0.00001; 34 trials; Trial Sequential Analysis adjusted CI 0.83 to 0.92); Bayes factor (1426.81) did not confirm the effect). SSRIs significantly increased the risks of serious adverse events (OR 1.37; 95% CI 1.08 to 1.75; P</w:instrText>
      </w:r>
      <w:r w:rsidR="009A5637">
        <w:rPr>
          <w:rFonts w:ascii="Arial" w:hAnsi="Arial" w:cs="Arial"/>
          <w:lang w:bidi="fa-IR"/>
        </w:rPr>
        <w:instrText> </w:instrText>
      </w:r>
      <w:r w:rsidR="009A5637">
        <w:rPr>
          <w:rFonts w:cs="B Nazanin"/>
          <w:lang w:bidi="fa-IR"/>
        </w:rPr>
        <w:instrText>=</w:instrText>
      </w:r>
      <w:r w:rsidR="009A5637">
        <w:rPr>
          <w:rFonts w:ascii="Arial" w:hAnsi="Arial" w:cs="Arial"/>
          <w:lang w:bidi="fa-IR"/>
        </w:rPr>
        <w:instrText> </w:instrText>
      </w:r>
      <w:r w:rsidR="009A5637">
        <w:rPr>
          <w:rFonts w:cs="B Nazanin"/>
          <w:lang w:bidi="fa-IR"/>
        </w:rPr>
        <w:instrText>0.009; 44 trials; Trial Sequential Analysis-adjusted CI 1.03 to 1.89). This corresponds to 31/1000 SSRI participants will experience a serious adverse event compared with 22/1000 control participants. SSRIs also significantly increased the number of non-serious adverse events. There were almost no data on suicidal behaviour, quality of life, and long-term effects. CONCLUSIONS: SSRIs might have statistically significant effect…","author":[{"dropping-particle":"","family":"Jakobsen","given":"Janus Christian","non-dropping-particle":"","parse-names":false,"suffix":""},{"dropping-particle":"","family":"Katakam","given":"Kiran Kumar","non-dropping-particle":"","parse-names":false,"suffix":""},{"dropping-particle":"","family":"Schou","given":"Anne","non-dropping-particle":"","parse-names":false,"suffix":""},{"dropping-particle":"","family":"Hellmuth","given":"Signe Gade","non-dropping-particle":"","parse-names":false,"suffix":""},{"dropping-particle":"","family":"Stallknecht","given":"Sandra Elkjær","non-dropping-particle":"","parse-names":false,"suffix":""},{"dropping-particle":"","family":"Leth-Møller","given":"Katja","non-dropping-particle":"","parse-names":false,"suffix":""},{"dropping-particle":"","family":"Iversen","given":"Maria","non-dropping-particle":"","parse-names":false,"suffix":""},{"dropping-particle":"","family":"Banke","given":"Marianne Bjørnø","non-dropping-particle":"","parse-names":false,"suffix":""},{"dropping-particle":"","family":"Petersen","given":"Iggiannguaq Juhl","non-dropping-particle":"","parse-names":false,"suffix":""},{"dropping-particle":"","family":"Klingenberg","given":"Sarah Louise","non-dropping-particle":"","parse-names":false,"suffix":""},{"dropping-particle":"","family":"Krogh","given":"Jesper","non-dropping-particle":"","parse-names":false,"suffix":""},{"dropping-particle":"","family":"Ebert","given":"Sebastian Elgaard","non-dropping-particle":"","parse-names":false,"suffix":""},{"dropping-particle":"","family":"Timm","given":"Anne","non-dropping-particle":"","parse-names":false,"suffix":""},{"dropping-particle":"","family":"Lindschou","given":"Jane","non-dropping-particle":"","parse-names":false,"suffix":""},{"dropping-particle":"","family":"Gluud","given":"Christian","non-dropping-particle":"","parse-names":false,"suffix":""}],"container-title":"BMC psychiatry","id":"ITEM-4","issue":"1","issued":{"date-parts":[["2017","2"]]},"language":"eng","page":"58","publisher-place":"England","title":"Selective serotonin reuptake inhibitors versus placebo in patients with major  depressive disorder. A systematic review with meta-analysis and Trial Sequential Analysis.","type":"article-journal","volume":"17"},"uris":["http://www.mendeley.com/documents/?uuid=1d361f3c-1574-46fa-9644-223b8db9b620"]}],"mendeley":{"formattedCitation":"(Cipriani et al., 2018; Goodwin &amp; Stein, 2021; Jakobsen et al., 2017; Kirsch et al., 2008)","plainTextFormattedCitation":"(Cipriani et al., 2018; Goodwin &amp; Stein, 2021; Jakobsen et al., 2017; Kirsch et al., 2008)","previouslyFormattedCitation":"(Cipriani et al., 2018; Goodwin &amp; Stein, 2021; Jakobsen et al., 2017; Kirsch et al., 2008)"},"properties":{"noteIndex":0},"schema":"https://github.com/citation-style-language/schema/raw/master/csl-citation.json"}</w:instrText>
      </w:r>
      <w:r>
        <w:rPr>
          <w:rFonts w:cs="B Nazanin"/>
          <w:rtl/>
          <w:lang w:bidi="fa-IR"/>
        </w:rPr>
        <w:fldChar w:fldCharType="separate"/>
      </w:r>
      <w:r w:rsidRPr="00917851">
        <w:rPr>
          <w:rFonts w:cs="B Nazanin"/>
          <w:noProof/>
          <w:lang w:bidi="fa-IR"/>
        </w:rPr>
        <w:t>(Cipriani et al., 2018; Goodwin &amp; Stein, 2021; Jakobsen et al., 2017; Kirsch et al., 2008)</w:t>
      </w:r>
      <w:r>
        <w:rPr>
          <w:rFonts w:cs="B Nazanin"/>
          <w:rtl/>
          <w:lang w:bidi="fa-IR"/>
        </w:rPr>
        <w:fldChar w:fldCharType="end"/>
      </w:r>
    </w:p>
    <w:p w14:paraId="5F65A339" w14:textId="36EEDAAF" w:rsidR="000164EB" w:rsidRDefault="00C343EC" w:rsidP="001D0E59">
      <w:pPr>
        <w:bidi/>
        <w:spacing w:after="0" w:line="240" w:lineRule="auto"/>
        <w:jc w:val="lowKashida"/>
        <w:outlineLvl w:val="0"/>
        <w:rPr>
          <w:rFonts w:cs="B Nazanin"/>
          <w:b/>
          <w:bCs/>
          <w:rtl/>
          <w:lang w:bidi="fa-IR"/>
        </w:rPr>
      </w:pPr>
      <w:r w:rsidRPr="00C343EC">
        <w:rPr>
          <w:rFonts w:cs="B Nazanin" w:hint="cs"/>
          <w:b/>
          <w:bCs/>
          <w:rtl/>
          <w:lang w:bidi="fa-IR"/>
        </w:rPr>
        <w:t>1_1مادران باردار</w:t>
      </w:r>
    </w:p>
    <w:p w14:paraId="18358CC9" w14:textId="0733A498" w:rsidR="00C343EC" w:rsidRDefault="00C343EC" w:rsidP="001D0E59">
      <w:pPr>
        <w:bidi/>
        <w:spacing w:after="0" w:line="240" w:lineRule="auto"/>
        <w:jc w:val="lowKashida"/>
        <w:outlineLvl w:val="0"/>
        <w:rPr>
          <w:rFonts w:cs="B Nazanin"/>
          <w:lang w:bidi="fa-IR"/>
        </w:rPr>
      </w:pPr>
      <w:r>
        <w:rPr>
          <w:rFonts w:cs="B Nazanin" w:hint="cs"/>
          <w:rtl/>
          <w:lang w:bidi="fa-IR"/>
        </w:rPr>
        <w:t>هرچند مصرف داروهای روانپزشکی در دوران بارداری بسیار خطرناک است اما تحقیقات نشان داده فلوکستین می تواند در جنین ایجاد نقص دیواره بین بطنی کند</w:t>
      </w:r>
      <w:r w:rsidR="000D6E64">
        <w:rPr>
          <w:rFonts w:cs="B Nazanin" w:hint="cs"/>
          <w:rtl/>
          <w:lang w:bidi="fa-IR"/>
        </w:rPr>
        <w:t xml:space="preserve"> و </w:t>
      </w:r>
      <w:r>
        <w:rPr>
          <w:rFonts w:cs="B Nazanin" w:hint="cs"/>
          <w:rtl/>
          <w:lang w:bidi="fa-IR"/>
        </w:rPr>
        <w:t>همچنین ارتباط معنا داری بین مصرف فلوکستین و خطر ناهنجاری های خاص سیستم مثل نقص لوله عصبی</w:t>
      </w:r>
      <w:r w:rsidR="009A5637">
        <w:rPr>
          <w:rFonts w:cs="B Nazanin" w:hint="cs"/>
          <w:rtl/>
          <w:lang w:bidi="fa-IR"/>
        </w:rPr>
        <w:t xml:space="preserve">  </w:t>
      </w:r>
      <w:r>
        <w:rPr>
          <w:rFonts w:cs="B Nazanin" w:hint="cs"/>
          <w:rtl/>
          <w:lang w:bidi="fa-IR"/>
        </w:rPr>
        <w:t>، نقص گوش، صورت و گردن نشان داده شده است. هرچند آزمایشات به دلیل کم بودن نمونه ها به صورت کامل تأیید نمی شود</w:t>
      </w:r>
      <w:r w:rsidR="009A5637">
        <w:rPr>
          <w:rFonts w:cs="B Nazanin"/>
          <w:rtl/>
          <w:lang w:bidi="fa-IR"/>
        </w:rPr>
        <w:fldChar w:fldCharType="begin" w:fldLock="1"/>
      </w:r>
      <w:r w:rsidR="00AB1724">
        <w:rPr>
          <w:rFonts w:cs="B Nazanin"/>
          <w:lang w:bidi="fa-IR"/>
        </w:rPr>
        <w:instrText>ADDIN CSL_CITATION {"citationItems":[{"id":"ITEM-1","itemData":{"DOI":"10.1186/s12916-018-1193-5","ISSN":"1741-7015 (Electronic)","PMID":"30415641","abstract":"BACKGROUND: In 2005, the FDA cautioned that exposure to paroxetine, a selective  serotonin reuptake inhibitor (SSRI), during the first trimester of pregnancy may increase the risk of cardiac malformations. Since then, the association between maternal use of SSRIs during pregnancy and congenital malformations in infants has been the subject of much discussion and controversy. The aim of this study is to systematically review the associations between SSRIs use during early pregnancy and the risk of congenital malformations, with particular attention to the potential confounding by indication. METHODS: The study protocol was registered with PROSPERO (CRD42018088358). Cohort studies on congenital malformations in infants born to mothers with first-trimester exposure to SSRIs were identified via PubMed, Embase, Web of Science, and the Cochrane Library databases through 17 January 2018. Random-effects models were used to calculate summary relative risks (RRs). RESULTS: Twenty-nine cohort studies including 9,085,954 births were identified. Overall, use of SSRIs was associated with an increased risk of overall major congenital anomalies (MCAs, RR 1.11, 95% CI 1.03 to 1.19) and congenital heart defects (CHD, RR 1.24, 95% CI 1.11 to 1.37). No significantly increased risk was observed when restricted to women with a psychiatric diagnosis (MCAs, RR 1.04, 95% CI 0.95 to 1.13; CHD, RR 1.06, 95% CI 0.90 to 1.26). Similar significant associations were observed using maternal citalopram exposure (MCAs, RR 1.20, 95% CI 1.09 to 1.31; CHD, RR 1.24, 95% CI 1.02 to 1.51), fluoxetine (MCAs, RR 1.17, 95% CI 1.07 to 1.28; CHD, 1.30, 95% CI 1.12 to 1.53), and paroxetine (MCAs, RR 1.18, 95% CI 1.05 to 1.32; CHD, RR 1.17, 95% CI 0.97 to 1.41) and analyses restricted to using women with a psychiatric diagnosis were not statistically significant. Sertraline was associated with septal defects (RR 2.69, 95% CI 1.76 to 4.10), atrial septal defects (RR 2.07, 95% CI 1.26 to 3.39), and respiratory system defects (RR 2.65, 95% CI 1.32 to 5.32). CONCLUSIONS: The evidence suggests a generally small risk of congenital malformations and argues against a substantial teratogenic effect of SSRIs. Caution is advisable in making decisions about whether to continue or stop treatment with SSRIs during pregnancy.","author":[{"dropping-particle":"","family":"Gao","given":"Shan-Yan","non-dropping-particle":"","parse-names":false,"suffix":""},{"dropping-particle":"","family":"Wu","given":"Qi-Jun","non-dropping-particle":"","parse-names":false,"suffix":""},{"dropping-particle":"","family":"Sun","given":"Ce","non-dropping-particle":"","parse-names":false,"suffix":""},{"dropping-particle":"","family":"Zhang","given":"Tie-Ning","non-dropping-particle":"","parse-names":false,"suffix":""},{"dropping-particle":"","family":"Shen","given":"Zi-Qi","non-dropping-particle":"","parse-names":false,"suffix":""},{"dropping-particle":"","family":"Liu","given":"Cai-Xia","non-dropping-particle":"","parse-names":false,"suffix":""},{"dropping-particle":"","family":"Gong","given":"Ting-Ting","non-dropping-particle":"","parse-names":false,"suffix":""},{"dropping-particle":"","family":"Xu","given":"Xin","non-dropping-particle":"","parse-names":false,"suffix":""},{"dropping-particle":"","family":"Ji","given":"Chao","non-dropping-particle":"","parse-names":false,"suffix":""},{"dropping-particle":"","family":"Huang","given":"Dong-Hui","non-dropping-particle":"","parse-names":false,"suffix":""},{"dropping-particle":"","family":"Chang","given":"Qing","non-dropping-particle":"","parse-names":false,"suffix":""},{"dropping-particle":"","family":"Zhao","given":"Yu-Hong","non-dropping-particle":"","parse-names":false,"suffix":""}],"container-title":"BMC medicine","id":"ITEM-1","issue":"1","issued":{"date-parts":[["2018","11"]]},"language":"eng","page":"205","publisher-place":"England","title":"Selective serotonin reuptake inhibitor use during early pregnancy and congenital  malformations: a systematic review and meta-analysis of cohort studies of more than 9 million births.","type":"article-journal","volume":"16"},"uris":["http://www.mendeley.com/documents/?uuid=28f7286b-f28b-4c68-9a09-490cc1f59ded"]}],"mendeley":{"formattedCitation":"(Gao et al., 2018)","plainTextFormattedCitation":"(Gao et al., 2018)","previouslyFormattedCitation":"(Gao et al., 2018)"},"properties":{"noteIndex":0},"schema":"https://github.com/citation-style-language/schema/raw/master/csl-citation.json"}</w:instrText>
      </w:r>
      <w:r w:rsidR="009A5637">
        <w:rPr>
          <w:rFonts w:cs="B Nazanin"/>
          <w:rtl/>
          <w:lang w:bidi="fa-IR"/>
        </w:rPr>
        <w:fldChar w:fldCharType="separate"/>
      </w:r>
      <w:r w:rsidR="009A5637" w:rsidRPr="009A5637">
        <w:rPr>
          <w:rFonts w:cs="B Nazanin"/>
          <w:noProof/>
          <w:lang w:bidi="fa-IR"/>
        </w:rPr>
        <w:t>(Gao et al., 2018)</w:t>
      </w:r>
      <w:r w:rsidR="009A5637">
        <w:rPr>
          <w:rFonts w:cs="B Nazanin"/>
          <w:rtl/>
          <w:lang w:bidi="fa-IR"/>
        </w:rPr>
        <w:fldChar w:fldCharType="end"/>
      </w:r>
      <w:r w:rsidR="009A5637">
        <w:rPr>
          <w:rFonts w:cs="B Nazanin" w:hint="cs"/>
          <w:rtl/>
          <w:lang w:bidi="fa-IR"/>
        </w:rPr>
        <w:t>.</w:t>
      </w:r>
    </w:p>
    <w:p w14:paraId="03D70417" w14:textId="77777777" w:rsidR="00C343EC" w:rsidRDefault="00C343EC" w:rsidP="001D0E59">
      <w:pPr>
        <w:bidi/>
        <w:spacing w:after="0" w:line="240" w:lineRule="auto"/>
        <w:jc w:val="lowKashida"/>
        <w:outlineLvl w:val="0"/>
        <w:rPr>
          <w:rFonts w:cs="B Nazanin"/>
          <w:rtl/>
          <w:lang w:bidi="fa-IR"/>
        </w:rPr>
      </w:pPr>
    </w:p>
    <w:p w14:paraId="2124E1D0" w14:textId="56232855" w:rsidR="00C343EC" w:rsidRDefault="00C343EC" w:rsidP="001D0E59">
      <w:pPr>
        <w:bidi/>
        <w:spacing w:after="0" w:line="240" w:lineRule="auto"/>
        <w:jc w:val="lowKashida"/>
        <w:outlineLvl w:val="0"/>
        <w:rPr>
          <w:rFonts w:cs="B Nazanin"/>
          <w:b/>
          <w:bCs/>
          <w:rtl/>
          <w:lang w:bidi="fa-IR"/>
        </w:rPr>
      </w:pPr>
      <w:r w:rsidRPr="00C343EC">
        <w:rPr>
          <w:rFonts w:cs="B Nazanin" w:hint="cs"/>
          <w:b/>
          <w:bCs/>
          <w:rtl/>
          <w:lang w:bidi="fa-IR"/>
        </w:rPr>
        <w:t>2_افسردگی مقاوم به درمان</w:t>
      </w:r>
    </w:p>
    <w:p w14:paraId="55D66263" w14:textId="77777777" w:rsidR="00A420FF" w:rsidRDefault="00F43094" w:rsidP="001D0E59">
      <w:pPr>
        <w:bidi/>
        <w:spacing w:after="0" w:line="240" w:lineRule="auto"/>
        <w:jc w:val="lowKashida"/>
        <w:outlineLvl w:val="0"/>
        <w:rPr>
          <w:rFonts w:cs="B Nazanin"/>
          <w:rtl/>
          <w:lang w:bidi="fa-IR"/>
        </w:rPr>
      </w:pPr>
      <w:r>
        <w:rPr>
          <w:rFonts w:cs="B Nazanin" w:hint="cs"/>
          <w:rtl/>
          <w:lang w:bidi="fa-IR"/>
        </w:rPr>
        <w:t>زمانی که افسردگی، مقاوم به درمان می شود تحریک عمقی مغز به عنوان یک گزینه درمانی برای افسردگی مقاوم به درمان</w:t>
      </w:r>
      <w:r>
        <w:rPr>
          <w:rFonts w:cs="B Nazanin"/>
          <w:lang w:bidi="fa-IR"/>
        </w:rPr>
        <w:t>TRD</w:t>
      </w:r>
      <w:r>
        <w:rPr>
          <w:rFonts w:cs="B Nazanin" w:hint="cs"/>
          <w:rtl/>
          <w:lang w:bidi="fa-IR"/>
        </w:rPr>
        <w:t xml:space="preserve"> به طور گسترده مورد مطالعه قرار گرفته است. تحریک عمقی مغز </w:t>
      </w:r>
      <w:r>
        <w:rPr>
          <w:rFonts w:cs="B Nazanin"/>
          <w:lang w:bidi="fa-IR"/>
        </w:rPr>
        <w:t>DBS</w:t>
      </w:r>
      <w:r>
        <w:rPr>
          <w:rFonts w:cs="B Nazanin" w:hint="cs"/>
          <w:rtl/>
          <w:lang w:bidi="fa-IR"/>
        </w:rPr>
        <w:t xml:space="preserve"> در اهداف مختلف، به طور گسترده با 60 درصد میزان پاسخ در بیماران مبتلا به افسردگی مزمن که قبلاً مقاوم به درمان بوده اند، همراه است. با این حال میزان پاسخ بین بیماران و مطالعات بسیار متفاوت است و اغلب نیاز به بهینه سازی گسترده پارامتر های تحریک با روش آزمون و خطا دارد. شواهد نوظهور از تصویربرداری تراکتوگرافی نشان می دهد که هدف قرار دادن ترکیبی از مسیر های ماده سفید، به جای مناطق خاص ماده خاکستری، برای پاسخ معنادار ضد افسردگی به</w:t>
      </w:r>
      <w:r>
        <w:rPr>
          <w:rFonts w:cs="B Nazanin"/>
          <w:lang w:bidi="fa-IR"/>
        </w:rPr>
        <w:t>DBS</w:t>
      </w:r>
      <w:r>
        <w:rPr>
          <w:rFonts w:cs="B Nazanin" w:hint="cs"/>
          <w:rtl/>
          <w:lang w:bidi="fa-IR"/>
        </w:rPr>
        <w:t xml:space="preserve"> ضروری است. در سرار اهداف به تعیین شبکه بهینه ضد افسردگی که می تواند برای جراحی هدایت شده با تراکتوگرافی استفاده شده است، کمک ک</w:t>
      </w:r>
      <w:r w:rsidR="00A420FF">
        <w:rPr>
          <w:rFonts w:cs="B Nazanin" w:hint="cs"/>
          <w:rtl/>
          <w:lang w:bidi="fa-IR"/>
        </w:rPr>
        <w:t>ن</w:t>
      </w:r>
      <w:r>
        <w:rPr>
          <w:rFonts w:cs="B Nazanin" w:hint="cs"/>
          <w:rtl/>
          <w:lang w:bidi="fa-IR"/>
        </w:rPr>
        <w:t xml:space="preserve">د. </w:t>
      </w:r>
      <w:r w:rsidR="00C511ED">
        <w:rPr>
          <w:rFonts w:cs="B Nazanin" w:hint="cs"/>
          <w:rtl/>
          <w:lang w:bidi="fa-IR"/>
        </w:rPr>
        <w:t>این استراتژی تحریک دقیق احتمالا منجربه پاسخ های ضد افسردگی سریع تر و بالاتر می شود که می توان با تنظیم تحریک در طول زمان به روش حلقه بسته یا حلقه باز کمکی که توسط نشانگر های زیستی حالت های افسردگی اطلاع رسانی می شود، حفظ یا بهینه کرد</w:t>
      </w:r>
      <w:r w:rsidR="00C511ED">
        <w:rPr>
          <w:rFonts w:cs="B Nazanin"/>
          <w:lang w:bidi="fa-IR"/>
        </w:rPr>
        <w:t>DBS</w:t>
      </w:r>
      <w:r w:rsidR="00C511ED">
        <w:rPr>
          <w:rFonts w:cs="B Nazanin" w:hint="cs"/>
          <w:rtl/>
          <w:lang w:bidi="fa-IR"/>
        </w:rPr>
        <w:t xml:space="preserve"> را ثبت می کنند و استاندارسازی طرح های مطالعه تصادفی کنترل شده با دارونما از جمله بهینه سازی پارامتر برجسب باز اولیه بستگی داشته باشد. نقشه های فعال سازی ماده سفید در پاسخ دهندگان</w:t>
      </w:r>
      <w:r w:rsidR="00C511ED">
        <w:rPr>
          <w:rFonts w:cs="B Nazanin"/>
          <w:lang w:bidi="fa-IR"/>
        </w:rPr>
        <w:t>DBS</w:t>
      </w:r>
      <w:r w:rsidR="00C511ED">
        <w:rPr>
          <w:rFonts w:cs="B Nazanin" w:hint="cs"/>
          <w:rtl/>
          <w:lang w:bidi="fa-IR"/>
        </w:rPr>
        <w:t xml:space="preserve"> است. پیشرفت در این زمینه ممکن است به توسعه اندازه گیری های جدید پیامد که تغییرات پایدار علائم انتخابی مدار مشاهده شده</w:t>
      </w:r>
      <w:r w:rsidR="00AD6E3C">
        <w:rPr>
          <w:rFonts w:cs="B Nazanin" w:hint="cs"/>
          <w:rtl/>
          <w:lang w:bidi="fa-IR"/>
        </w:rPr>
        <w:t xml:space="preserve"> پس از</w:t>
      </w:r>
      <w:r w:rsidR="00AD6E3C">
        <w:rPr>
          <w:rFonts w:cs="B Nazanin"/>
          <w:lang w:bidi="fa-IR"/>
        </w:rPr>
        <w:t>TRD</w:t>
      </w:r>
      <w:r w:rsidR="00AD6E3C">
        <w:rPr>
          <w:rFonts w:cs="B Nazanin" w:hint="cs"/>
          <w:rtl/>
          <w:lang w:bidi="fa-IR"/>
        </w:rPr>
        <w:t xml:space="preserve"> یک گزینه درمانی مؤثر، ایمن و قابل تحمل برای</w:t>
      </w:r>
      <w:r w:rsidR="00AD6E3C">
        <w:rPr>
          <w:rFonts w:cs="B Nazanin"/>
          <w:lang w:bidi="fa-IR"/>
        </w:rPr>
        <w:t>DBS</w:t>
      </w:r>
      <w:r w:rsidR="00AD6E3C">
        <w:rPr>
          <w:rFonts w:cs="B Nazanin" w:hint="cs"/>
          <w:rtl/>
          <w:lang w:bidi="fa-IR"/>
        </w:rPr>
        <w:t xml:space="preserve"> است. اما یافته های جدید، درمان دارویی اما خطرناک تری را یافته است که برای در نظر گرفتن داروهای ضد روان پریشی غیر معمول، ترکیبات دوپامینرژیک،لیتیوم و هورمون های تیروئید به عنوان عامل تقویت کننده مؤثر برای</w:t>
      </w:r>
      <w:r w:rsidR="00AD6E3C">
        <w:rPr>
          <w:rFonts w:cs="B Nazanin"/>
          <w:lang w:bidi="fa-IR"/>
        </w:rPr>
        <w:t>TRD</w:t>
      </w:r>
      <w:r w:rsidR="00AD6E3C">
        <w:rPr>
          <w:rFonts w:cs="B Nazanin" w:hint="cs"/>
          <w:rtl/>
          <w:lang w:bidi="fa-IR"/>
        </w:rPr>
        <w:t xml:space="preserve"> ارائه می دهد. لیتیوم و هورمون های تیروئید علیرغم اینکه نسبتاً کم مورد استفاده می گیرند، یک استراتژی تقویت کننده مهم در فارماکوپه عمومی برای</w:t>
      </w:r>
      <w:r w:rsidR="00AD6E3C">
        <w:rPr>
          <w:rFonts w:cs="B Nazanin"/>
          <w:lang w:bidi="fa-IR"/>
        </w:rPr>
        <w:t>TRD</w:t>
      </w:r>
      <w:r w:rsidR="00AD6E3C">
        <w:rPr>
          <w:rFonts w:cs="B Nazanin" w:hint="cs"/>
          <w:rtl/>
          <w:lang w:bidi="fa-IR"/>
        </w:rPr>
        <w:t xml:space="preserve"> هستند. داده های ما نشان می دهد که زیپراسیدون، میرتازاپین و کاریپرازین خطر بیشتری برای قطع مصرف دارند. اما برای قطعیت این یافته ها نیاز به مطالعات طولانی وجود دارد، توصیه های بالینی باید بر خطرات و مزایای بالقوه مداخلات درمانی </w:t>
      </w:r>
      <w:r w:rsidR="005C0723">
        <w:rPr>
          <w:rFonts w:cs="B Nazanin" w:hint="cs"/>
          <w:rtl/>
          <w:lang w:bidi="fa-IR"/>
        </w:rPr>
        <w:t>در زمینه بار عوارض جانبی و ترجیح بیماران برای بهبود علائم افسردگی، غلبه کنند و همچنین استانداردسازی در روش شناسی توسعه متناسب با عامل باشد تا به طور مؤثر اثر بخشی و تحمل پذیری قابل قبول این ترکیبات را در دنیای واقعی نشان دهد</w:t>
      </w:r>
    </w:p>
    <w:p w14:paraId="0D4F078A" w14:textId="6DBF1004" w:rsidR="00C343EC" w:rsidRDefault="00AB1724" w:rsidP="00A420FF">
      <w:pPr>
        <w:bidi/>
        <w:spacing w:after="0" w:line="240" w:lineRule="auto"/>
        <w:jc w:val="lowKashida"/>
        <w:outlineLvl w:val="0"/>
        <w:rPr>
          <w:rFonts w:cs="B Nazanin"/>
          <w:sz w:val="32"/>
          <w:szCs w:val="32"/>
          <w:rtl/>
          <w:lang w:bidi="fa-IR"/>
        </w:rPr>
      </w:pPr>
      <w:r>
        <w:rPr>
          <w:rFonts w:cs="B Nazanin" w:hint="cs"/>
          <w:rtl/>
          <w:lang w:bidi="fa-IR"/>
        </w:rPr>
        <w:t xml:space="preserve"> </w:t>
      </w:r>
      <w:r>
        <w:rPr>
          <w:rFonts w:cs="B Nazanin"/>
          <w:rtl/>
          <w:lang w:bidi="fa-IR"/>
        </w:rPr>
        <w:fldChar w:fldCharType="begin" w:fldLock="1"/>
      </w:r>
      <w:r w:rsidR="00136F5A">
        <w:rPr>
          <w:rFonts w:cs="B Nazanin"/>
          <w:lang w:bidi="fa-IR"/>
        </w:rPr>
        <w:instrText>ADDIN CSL_CITATION {"citationItems":[{"id":"ITEM-1","itemData":{"DOI":"10.1007/s13311-022-01270-3","ISSN":"1878-7479 (Electronic)","PMID":"35817944","abstract":"Deep brain stimulation has been extensively studied as a therapeutic option for  treatment-resistant depression (TRD). DBS across different targets is associated with on average 60% response rates in previously refractory chronically depressed patients. However, response rates vary greatly between patients and between studies and often require extensive trial-and-error optimizations of stimulation parameters. Emerging evidence from tractography imaging suggests that targeting combinations of white matter tracts, rather than specific grey matter regions, is necessary for meaningful antidepressant response to DBS. In this article, we review efficacy of various DBS targets for TRD, which networks are involved in their therapeutic effects, and how we can use this information to improve targeting and programing of DBS for individual patients. We will also highlight how to integrate these DBS network findings into developing adaptive stimulation and optimal trial designs.","author":[{"dropping-particle":"","family":"Figee","given":"Martijn","non-dropping-particle":"","parse-names":false,"suffix":""},{"dropping-particle":"","family":"Riva-Posse","given":"Patricio","non-dropping-particle":"","parse-names":false,"suffix":""},{"dropping-particle":"","family":"Choi","given":"Ki Sueng","non-dropping-particle":"","parse-names":false,"suffix":""},{"dropping-particle":"","family":"Bederson","given":"Lucia","non-dropping-particle":"","parse-names":false,"suffix":""},{"dropping-particle":"","family":"Mayberg","given":"Helen S","non-dropping-particle":"","parse-names":false,"suffix":""},{"dropping-particle":"","family":"Kopell","given":"Brian H","non-dropping-particle":"","parse-names":false,"suffix":""}],"container-title":"Neurotherapeutics : the journal of the American Society for Experimental  NeuroTherapeutics","id":"ITEM-1","issue":"4","issued":{"date-parts":[["2022","7"]]},"language":"eng","page":"1229-1245","publisher-place":"United States","title":"Deep Brain Stimulation for Depression.","type":"article-journal","volume":"19"},"uris":["http://www.mendeley.com/documents/?uuid=101a8c5c-b180-451f-8142-27b293805332"]},{"id":"ITEM-2","itemData":{"DOI":"10.1016/j.jad.2021.12.134","ISSN":"1573-2517 (Electronic)","PMID":"34986373","abstract":"OBJECTIVE: To compare the efficacy and discontinuation of augmentation agents in  adult patients with treatment-resistant depression (TRD). We conducted a systematic review and network meta-analyses (NMA) to combine direct and indirect comparisons of augmentation agents. METHODS: We included randomized controlled trials comparing one active drug with another or with placebo following a treatment course up to 24 weeks. Nineteen agents were included: stimulants, atypical antipsychotics, thyroid hormones, antidepressants, and mood stabilizers. Data for response/remission and all-cause discontinuation rates were analyzed. We estimated effect-size by relative risk using pairwise and NMA with random-effects model. RESULTS: A total of 65 studies (N = 12,415) with 19 augmentation agents were included in the NMA. Our findings from the NMA for response rates, compared to placebo, were significant for: liothyronine, nortriptyline, aripiprazole, brexpiprazole, quetiapine, lithium, modafinil, olanzapine (fluoxetine), cariprazine, and lisdexamfetamine. For remission rates, compared to placebo, were significant for: thyroid hormone(T4), aripiprazole, brexpiprazole, risperidone, quetiapine, and olanzapine (fluoxetine). Compared to placebo, ziprasidone, mirtazapine, and cariprazine had statistically significant higher discontinuation rates. Overall, 24% studies were rated as having low risk of bias (RoB), 63% had moderate RoB and 13% had high RoB. LIMITATIONS: Heterogeneity in TRD definitions, variable trial duration and methodological clinical design of older studies and small number of trials per comparisons. CONCLUSIONS: This NMA suggests a superiority of the regulatory approved adjunctive atypical antipsychotics, thyroid hormones, dopamine compounds (modafinil and lisdexamfetamine) and lithium. Acceptability was lower with ziprasidone, mirtazapine, and cariprazine. Further research and head-to-head studies should be considered to strengthen the best available options for TRD.","author":[{"dropping-particle":"","family":"Nuñez","given":"Nicolas A","non-dropping-particle":"","parse-names":false,"suffix":""},{"dropping-particle":"","family":"Joseph","given":"Boney","non-dropping-particle":"","parse-names":false,"suffix":""},{"dropping-particle":"","family":"Pahwa","given":"Mehak","non-dropping-particle":"","parse-names":false,"suffix":""},{"dropping-particle":"","family":"Kumar","given":"Rakesh","non-dropping-particle":"","parse-names":false,"suffix":""},{"dropping-particle":"","family":"Resendez","given":"Manuel Gardea","non-dropping-particle":"","parse-names":false,"suffix":""},{"dropping-particle":"","family":"Prokop","given":"Larry J","non-dropping-particle":"","parse-names":false,"suffix":""},{"dropping-particle":"","family":"Veldic","given":"Marin","non-dropping-particle":"","parse-names":false,"suffix":""},{"dropping-particle":"","family":"Seshadri","given":"Ashok","non-dropping-particle":"","parse-names":false,"suffix":""},{"dropping-particle":"","family":"Biernacka","given":"Joanna M","non-dropping-particle":"","parse-names":false,"suffix":""},{"dropping-particle":"","family":"Frye","given":"Mark A","non-dropping-particle":"","parse-names":false,"suffix":""},{"dropping-particle":"","family":"Wang","given":"Zhen","non-dropping-particle":"","parse-names":false,"suffix":""},{"dropping-particle":"","family":"Singh","given":"Balwinder","non-dropping-particle":"","parse-names":false,"suffix":""}],"container-title":"Journal of affective disorders","id":"ITEM-2","issued":{"date-parts":[["2022","4"]]},"language":"eng","page":"385-400","publisher-place":"Netherlands","title":"Augmentation strategies for treatment resistant major depression: A systematic  review and network meta-analysis.","type":"article-journal","volume":"302"},"uris":["http://www.mendeley.com/documents/?uuid=287941c7-d95f-4543-8ff0-aacdd80e2105"]}],"mendeley":{"formattedCitation":"(Figee et al., 2022; Nuñez et al., 2022)","plainTextFormattedCitation":"(Figee et al., 2022; Nuñez et al., 2022)","previouslyFormattedCitation":"(Figee et al., 2022; Nuñez et al., 2022)"},"properties":{"noteIndex":0},"schema":"https://github.com/citation-style-language/schema/raw/master/csl-citation.json"}</w:instrText>
      </w:r>
      <w:r>
        <w:rPr>
          <w:rFonts w:cs="B Nazanin"/>
          <w:rtl/>
          <w:lang w:bidi="fa-IR"/>
        </w:rPr>
        <w:fldChar w:fldCharType="separate"/>
      </w:r>
      <w:r w:rsidRPr="00AB1724">
        <w:rPr>
          <w:rFonts w:cs="B Nazanin"/>
          <w:noProof/>
          <w:lang w:bidi="fa-IR"/>
        </w:rPr>
        <w:t>(Figee et al., 2022; Nuñez et al., 2022)</w:t>
      </w:r>
      <w:r>
        <w:rPr>
          <w:rFonts w:cs="B Nazanin"/>
          <w:rtl/>
          <w:lang w:bidi="fa-IR"/>
        </w:rPr>
        <w:fldChar w:fldCharType="end"/>
      </w:r>
      <w:r w:rsidR="005C0723">
        <w:rPr>
          <w:rFonts w:cs="B Nazanin" w:hint="cs"/>
          <w:rtl/>
          <w:lang w:bidi="fa-IR"/>
        </w:rPr>
        <w:t>.</w:t>
      </w:r>
    </w:p>
    <w:p w14:paraId="59125203" w14:textId="62CB18EF" w:rsidR="00B764B7" w:rsidRDefault="00B764B7" w:rsidP="001D0E59">
      <w:pPr>
        <w:bidi/>
        <w:spacing w:after="0" w:line="240" w:lineRule="auto"/>
        <w:jc w:val="lowKashida"/>
        <w:outlineLvl w:val="0"/>
        <w:rPr>
          <w:rFonts w:cs="B Nazanin"/>
          <w:b/>
          <w:bCs/>
          <w:rtl/>
          <w:lang w:bidi="fa-IR"/>
        </w:rPr>
      </w:pPr>
      <w:r w:rsidRPr="00B764B7">
        <w:rPr>
          <w:rFonts w:cs="B Nazanin" w:hint="cs"/>
          <w:b/>
          <w:bCs/>
          <w:rtl/>
          <w:lang w:bidi="fa-IR"/>
        </w:rPr>
        <w:t>1_2عوارض مصرف</w:t>
      </w:r>
      <w:r w:rsidRPr="00B764B7">
        <w:rPr>
          <w:rFonts w:cs="B Nazanin"/>
          <w:b/>
          <w:bCs/>
          <w:lang w:bidi="fa-IR"/>
        </w:rPr>
        <w:t>SSRI</w:t>
      </w:r>
    </w:p>
    <w:p w14:paraId="7F341E7D" w14:textId="77777777" w:rsidR="005C117F" w:rsidRDefault="00C9226D" w:rsidP="001D0E59">
      <w:pPr>
        <w:bidi/>
        <w:spacing w:after="0" w:line="240" w:lineRule="auto"/>
        <w:jc w:val="lowKashida"/>
        <w:outlineLvl w:val="0"/>
        <w:rPr>
          <w:rFonts w:cs="B Nazanin"/>
          <w:rtl/>
          <w:lang w:bidi="fa-IR"/>
        </w:rPr>
      </w:pPr>
      <w:r>
        <w:rPr>
          <w:rFonts w:cs="B Nazanin" w:hint="cs"/>
          <w:rtl/>
          <w:lang w:bidi="fa-IR"/>
        </w:rPr>
        <w:t>فلوکستین هیدروکلراید در اوایل دهه 1970 به جامعه پزشکان و شیمی دانان دارویی ارائه شد، زمانی که در یک مجله علمی به عنوان یک مهارکننده انتخابی بازجذب سروتونین توصیف شد، با این وجود چند سال طول کشید تا این ترکیب به طور کامل توسعه یابد، که بعداً توسط سازمان غذا و داروی آمریکا برای درمان افسردگی تأیید شد و با نام تجاری پروزاک به بازار عرضه شد. فلوکستین نمونه اولیه مهار کننده های انتخابی بازجذب سروتونین</w:t>
      </w:r>
      <w:r>
        <w:rPr>
          <w:rFonts w:cs="B Nazanin"/>
          <w:lang w:bidi="fa-IR"/>
        </w:rPr>
        <w:t>SSRIs</w:t>
      </w:r>
      <w:r>
        <w:rPr>
          <w:rFonts w:cs="B Nazanin" w:hint="cs"/>
          <w:rtl/>
          <w:lang w:bidi="fa-IR"/>
        </w:rPr>
        <w:t xml:space="preserve"> است، اولین عضو از یک دسته جدید از داروهای ضد </w:t>
      </w:r>
      <w:r>
        <w:rPr>
          <w:rFonts w:cs="B Nazanin" w:hint="cs"/>
          <w:rtl/>
          <w:lang w:bidi="fa-IR"/>
        </w:rPr>
        <w:lastRenderedPageBreak/>
        <w:t>افسردگی که ابتدا در ایالات متحده معرفی شدند</w:t>
      </w:r>
      <w:r w:rsidR="00136F5A">
        <w:rPr>
          <w:rFonts w:cs="B Nazanin"/>
          <w:rtl/>
          <w:lang w:bidi="fa-IR"/>
        </w:rPr>
        <w:fldChar w:fldCharType="begin" w:fldLock="1"/>
      </w:r>
      <w:r w:rsidR="00136F5A">
        <w:rPr>
          <w:rFonts w:cs="B Nazanin"/>
          <w:lang w:bidi="fa-IR"/>
        </w:rPr>
        <w:instrText>ADDIN CSL_CITATION {"citationItems":[{"id":"ITEM-1","itemData":{"DOI":"10.3724/zdxbyxb-2022-0145","ISSN":"1008-9292 (Print)","PMID":"37202104","abstract":"OBJECTIVE: To evaluate the efficacy and safety of antidepressants in treatment of  depression disorder in children and adolescents by network meta-analysis. METHODS: Databases of PubMed, Cochrane Library, EMBASE, Web of Science, PsycINFO, CBM, CNKI and Wanfang Data were searched for randomized controlled trials (RCT) related to antidepressants in treatment of children and adolescents with depression from inception to December 2021. Quality assessment and data extraction from the included RCTs were performed. Statistical analyses of efficacy and tolerability were conducted with Stata 15.1 software. Surface under the cumulative ranking (SUCAR) was used to rank the value of the antidepressants. RESULTS: A total of 33 RCTs were included in 32 articles, involving 6949 patients. There are 13 antidepressants used in total, including amitriptyline, vilazodone, fluoxetine, selegiline, paroxetine, imipramine, desipramine, sertraline, nortriptyline, escitalopram, citalopram, venlafaxine and duloxetine. The results of network meta-analysis showed that the efficacy of duloxetine ( OR=1.95, 95% CI: 1.41-2.69), fluoxetine ( OR=1.73, 95% CI: 1.40-2.14), venlafaxine ( OR=1.37, 95% CI: 1.04-1.80) and escitalopram ( OR=1.48, 95% CI: 1.12-1.95) were significantly higher than that of placebos (all P&lt;0.05); the probability cumulative ranks were duloxetine (87.0%), amitriptyline (83.3%), fluoxetine (79.0%), escitalopram (62.7%), etc. The results showed that the intolerability of patients receiving imipramine ( OR=0.15, 95% CI: 0.08-0.27), sertraline ( OR=0.33, 95% CI: 0.16-0.71), venlafaxine ( OR=0.35, 95% CI: 0.17-0.72), duloxetine ( OR=0.35, 95% CI: 0.17-0.73) and paroxetine ( OR=0.52, 95% CI: 0.30-0.88) were significantly higher than that of placebos (all P&lt;0.05), and the probability cumulative ranks were imipramine (95.7%), sertraline (69.6%), venlafaxine (68.6%), duloxetine (68.2%), etc. Conclusion: Among 13 antidepressants, duloxetine, fluoxetine, escitalopram and venlafaxine are significantly better than placebo in terms of efficacy, but duloxetine and venlafaxine are less well tolerated.","author":[{"dropping-particle":"","family":"Rao","given":"Yanxiao","non-dropping-particle":"","parse-names":false,"suffix":""},{"dropping-particle":"","family":"Yang","given":"Rongwang","non-dropping-particle":"","parse-names":false,"suffix":""},{"dropping-particle":"","family":"Zhao","given":"Jing","non-dropping-particle":"","parse-names":false,"suffix":""},{"dropping-particle":"","family":"Cao","given":"Qingjiu","non-dropping-particle":"","parse-names":false,"suffix":""}],"container-title":"Zhejiang da xue xue bao. Yi xue ban = Journal of Zhejiang University. Medical  sciences","id":"ITEM-1","issue":"4","issued":{"date-parts":[["2022","8"]]},"language":"eng","page":"480-490","publisher-place":"China","title":"Efficacy and tolerability of antidepressant drugs in treatment of depression in  children and adolescents: a network meta-analysis.","type":"article-journal","volume":"51"},"uris":["http://www.mendeley.com/documents/?uuid=34fd243b-c30b-497f-a9ef-0df028f3c518"]}],"mendeley":{"formattedCitation":"(Rao et al., 2022)","plainTextFormattedCitation":"(Rao et al., 2022)","previouslyFormattedCitation":"(Rao et al., 2022)"},"properties":{"noteIndex":0},"schema":"https://github.com/citation-style-language/schema/raw/master/csl-citation.json"}</w:instrText>
      </w:r>
      <w:r w:rsidR="00136F5A">
        <w:rPr>
          <w:rFonts w:cs="B Nazanin"/>
          <w:rtl/>
          <w:lang w:bidi="fa-IR"/>
        </w:rPr>
        <w:fldChar w:fldCharType="separate"/>
      </w:r>
      <w:r w:rsidR="00136F5A" w:rsidRPr="00136F5A">
        <w:rPr>
          <w:rFonts w:cs="B Nazanin"/>
          <w:noProof/>
          <w:lang w:bidi="fa-IR"/>
        </w:rPr>
        <w:t>(Rao et al., 2022)</w:t>
      </w:r>
      <w:r w:rsidR="00136F5A">
        <w:rPr>
          <w:rFonts w:cs="B Nazanin"/>
          <w:rtl/>
          <w:lang w:bidi="fa-IR"/>
        </w:rPr>
        <w:fldChar w:fldCharType="end"/>
      </w:r>
      <w:r w:rsidR="00136F5A">
        <w:rPr>
          <w:rFonts w:cs="B Nazanin" w:hint="cs"/>
          <w:rtl/>
          <w:lang w:bidi="fa-IR"/>
        </w:rPr>
        <w:t xml:space="preserve">. </w:t>
      </w:r>
      <w:r>
        <w:rPr>
          <w:rFonts w:cs="B Nazanin" w:hint="cs"/>
          <w:rtl/>
          <w:lang w:bidi="fa-IR"/>
        </w:rPr>
        <w:t>علاوه بر این، این اولین</w:t>
      </w:r>
      <w:r>
        <w:rPr>
          <w:rFonts w:cs="B Nazanin"/>
          <w:lang w:bidi="fa-IR"/>
        </w:rPr>
        <w:t>SSRI</w:t>
      </w:r>
      <w:r>
        <w:rPr>
          <w:rFonts w:cs="B Nazanin" w:hint="cs"/>
          <w:rtl/>
          <w:lang w:bidi="fa-IR"/>
        </w:rPr>
        <w:t xml:space="preserve"> بود که برای استفاده بالینی در اکثر کشور ها مورد استفاده قرار گرفت. علیرغم شک و تردید های اولیه، پروزاک در طول سال ها به نماد واقعی از داروهای موفق و پرفروش تبدیل شد. در واقع یک کپسول فلوکستین رو جلد کتاب به تصویر کشیده شده بود. نیوزویک، توسط همان مجله1990 به عنوان</w:t>
      </w:r>
      <w:r w:rsidRPr="009746BA">
        <w:rPr>
          <w:rFonts w:cs="B Nazanin" w:hint="cs"/>
          <w:rtl/>
          <w:lang w:bidi="fa-IR"/>
        </w:rPr>
        <w:t>"داروی پیشگام برای افسردگی"</w:t>
      </w:r>
      <w:r w:rsidR="009746BA">
        <w:rPr>
          <w:rFonts w:cs="B Nazanin" w:hint="cs"/>
          <w:rtl/>
          <w:lang w:bidi="fa-IR"/>
        </w:rPr>
        <w:t>، توسط فورچون1999 به عنوان یکی از</w:t>
      </w:r>
      <w:r w:rsidR="009746BA" w:rsidRPr="009746BA">
        <w:rPr>
          <w:rFonts w:cs="B Nazanin" w:hint="cs"/>
          <w:rtl/>
          <w:lang w:bidi="fa-IR"/>
        </w:rPr>
        <w:t>"محصولات دارویی قرن"</w:t>
      </w:r>
      <w:r w:rsidR="009746BA">
        <w:rPr>
          <w:rFonts w:cs="B Nazanin" w:hint="cs"/>
          <w:rtl/>
          <w:lang w:bidi="fa-IR"/>
        </w:rPr>
        <w:t xml:space="preserve"> و به طور کلی تر، به عنوان</w:t>
      </w:r>
      <w:r w:rsidR="009746BA" w:rsidRPr="009746BA">
        <w:rPr>
          <w:rFonts w:cs="B Nazanin" w:hint="cs"/>
          <w:rtl/>
          <w:lang w:bidi="fa-IR"/>
        </w:rPr>
        <w:t>"قرص شادی"</w:t>
      </w:r>
      <w:r w:rsidR="009746BA">
        <w:rPr>
          <w:rFonts w:cs="B Nazanin" w:hint="cs"/>
          <w:rtl/>
          <w:lang w:bidi="fa-IR"/>
        </w:rPr>
        <w:t xml:space="preserve"> در فرهنگ عامه مورد ستایش قرار گرفت. </w:t>
      </w:r>
    </w:p>
    <w:p w14:paraId="1AF92571" w14:textId="77777777" w:rsidR="005C117F" w:rsidRDefault="009746BA" w:rsidP="005C117F">
      <w:pPr>
        <w:bidi/>
        <w:spacing w:after="0" w:line="240" w:lineRule="auto"/>
        <w:jc w:val="lowKashida"/>
        <w:outlineLvl w:val="0"/>
        <w:rPr>
          <w:rFonts w:cs="B Nazanin"/>
          <w:rtl/>
          <w:lang w:bidi="fa-IR"/>
        </w:rPr>
      </w:pPr>
      <w:r>
        <w:rPr>
          <w:rFonts w:cs="B Nazanin" w:hint="cs"/>
          <w:rtl/>
          <w:lang w:bidi="fa-IR"/>
        </w:rPr>
        <w:t>این دسته داروها فقط به فلوکستین محدود نمی شوند، بلکه داروهایی مثل سرترالین، اسیتالوپرام و سایر این دسته داروها را تشکیل می دهند</w:t>
      </w:r>
      <w:r w:rsidR="005C117F">
        <w:rPr>
          <w:rFonts w:cs="B Nazanin"/>
          <w:rtl/>
          <w:lang w:bidi="fa-IR"/>
        </w:rPr>
        <w:fldChar w:fldCharType="begin" w:fldLock="1"/>
      </w:r>
      <w:r w:rsidR="005C117F">
        <w:rPr>
          <w:rFonts w:cs="B Nazanin"/>
          <w:lang w:bidi="fa-IR"/>
        </w:rPr>
        <w:instrText>ADDIN CSL_CITATION {"citationItems":[{"id":"ITEM-1","itemData":{"DOI":"10.1038/s41380-022-01770-w","ISSN":"1476-5578 (Electronic)","PMID":"36138129","abstract":"OBJECTIVE: People with mood disorders have increased risk of comorbid medical  diseases versus the general population. It is paramount to identify interventions to improve physical health in this population. METHODS: Umbrella review of meta-analyses of randomised controlled trials (RCTs) on pharmacological/non-pharmacological interventions for physical health outcomes/intolerability-related discontinuation in mood disorders (any age). RESULTS: Ninety-seven meta-analyses were included. Among youths, against placebo, in depression, antidepressants/antipsychotics had higher discontinuation rates; in bipolar depression, olanzapine+fluoxetine worsened total cholesterol (TC)/triglycerides/weight gain (WG) (large ES). In adults with bipolar disorder, olanzapine worsened HbA1c/TC/WG (moderate/large ES); asenapine increased fasting glucose (small ES); quetiapine/cariprazine/risperidone induced WG (small/moderate ES). In bipolar depression, lurasidone was metabolically neutral. In depression, psychological interventions improved physical health-related quality of life (PHQoL) (small ES), fasting glucose/HbA1c (medium/large ES); SSRIs improved fasting glucose/HbA1c, readmission for coronary disease, pain (small ES); quetiapine/aripiprazole/olanzapine induced WG (small to large ES). Exercise improved cardiorespiratory fitness (moderate ES). In the elderly, fluoxetine yielded more detrimental cardiovascular effects than sertraline/escitalopram (large ES); antidepressants were neutral on exercise tolerance and PHQoL. In mixed age groups, in bipolar disorder aripiprazole was metabolically neutral; in depression, SSRIs lowered blood pressure versus placebo and serotonin-noradrenaline reuptake inhibitors (small ES); brexpiprazole augmentation caused WG and was less tolerated (small ES); exercise improved PHQoL (moderate ES). CONCLUSIONS: Some interventions (psychological therapies, exercise and SSRIs) improve certain physical health outcomes in mood disorders, few are neutral, but various pharmacological interventions are associated with negative effects. Evidence from this umbrella review has limitations, should consider evidence from other disorders and should be integrated with recent evidence from individual RCTs, and observational evidence. Effective treatments with either beneficial or physically neutral profiles should be prioritized.","author":[{"dropping-particle":"","family":"Croatto","given":"Giovanni","non-dropping-particle":"","parse-names":false,"suffix":""},{"dropping-particle":"","family":"Vancampfort","given":"Davy","non-dropping-particle":"","parse-names":false,"suffix":""},{"dropping-particle":"","family":"Miola","given":"Alessandro","non-dropping-particle":"","parse-names":false,"suffix":""},{"dropping-particle":"","family":"Olivola","given":"Miriam","non-dropping-particle":"","parse-names":false,"suffix":""},{"dropping-particle":"","family":"Fiedorowicz","given":"Jess G","non-dropping-particle":"","parse-names":false,"suffix":""},{"dropping-particle":"","family":"Firth","given":"Joseph","non-dropping-particle":"","parse-names":false,"suffix":""},{"dropping-particle":"","family":"Alexinschi","given":"Ovidiu","non-dropping-particle":"","parse-names":false,"suffix":""},{"dropping-particle":"","family":"Gaina","given":"Marcel A","non-dropping-particle":"","parse-names":false,"suffix":""},{"dropping-particle":"","family":"Makkai","given":"Vladimir","non-dropping-particle":"","parse-names":false,"suffix":""},{"dropping-particle":"","family":"Soares","given":"Fernanda Cunha","non-dropping-particle":"","parse-names":false,"suffix":""},{"dropping-particle":"","family":"Cavaliere","given":"Leandro","non-dropping-particle":"","parse-names":false,"suffix":""},{"dropping-particle":"","family":"Vianello","given":"Giorgia","non-dropping-particle":"","parse-names":false,"suffix":""},{"dropping-particle":"","family":"Stubbs","given":"Brendon","non-dropping-particle":"","parse-names":false,"suffix":""},{"dropping-particle":"","family":"Fusar-Poli","given":"Paolo","non-dropping-particle":"","parse-names":false,"suffix":""},{"dropping-particle":"","family":"Carvalho","given":"Andre F","non-dropping-particle":"","parse-names":false,"suffix":""},{"dropping-particle":"","family":"Vieta","given":"Eduard","non-dropping-particle":"","parse-names":false,"suffix":""},{"dropping-particle":"","family":"Cortese","given":"Samuele","non-dropping-particle":"","parse-names":false,"suffix":""},{"dropping-particle":"Il","family":"Shin","given":"Jae","non-dropping-particle":"","parse-names":false,"suffix":""},{"dropping-particle":"","family":"Correll","given":"Christoph U","non-dropping-particle":"","parse-names":false,"suffix":""},{"dropping-particle":"","family":"Solmi","given":"Marco","non-dropping-particle":"","parse-names":false,"suffix":""}],"container-title":"Molecular psychiatry","id":"ITEM-1","issue":"1","issued":{"date-parts":[["2023","1"]]},"language":"eng","page":"369-390","publisher-place":"England","title":"The impact of pharmacological and non-pharmacological interventions on physical  health outcomes in people with mood disorders across the lifespan: An umbrella review of the evidence from randomised controlled trials.","type":"article-journal","volume":"28"},"uris":["http://www.mendeley.com/documents/?uuid=1a806779-b5c1-4a78-9e5e-050362eeebbf"]},{"id":"ITEM-2","itemData":{"DOI":"10.4103/ijp.ijp_854_22","ISSN":"1998-3751 (Electronic)","PMID":"37929407","abstract":"INTRODUCTION: Escitalopram, fluoxetine, and amitriptyline are the drugs commonly used in the treatment of depression. The pharmacoeconomic evaluation of these drugs becomes relevant as they are prescribed for a long period of time, and depression causes a significant economic burden. The cost-minimization study would contribute to bringing down the annual treatment costs, leading to better medication adherence and ultimately better patient outcomes. MATERIALS AND METHODS: All drug prices are mentioned in Indian National Rupee (INR). All expenses are based on 2022 pricing. No cost discounting was used because all expenditures were calculated over a year. We considered hypothetical scenarios where the patient was prescribed the lowest possible dose for depression, an equivalent antidepressant dose, a defined daily dose, and the maximum acceptable therapeutic dose for depression. RESULTS: Annual average treatment costs of amitriptyline, escitalopram, and fluoxetine in patients with depression at baseline with equivalent dosing as mono-drug therapy were 2765.53, 2914.78, and 1422.72 rupees (INR), respectively. Savings were high when the patient was shifted to fluoxetine from either escitalopram or amitriptyline. The savings from switching to fluoxetine were 50.66% and 56.42% from escitalopram and amitriptyline, respectively. CONCLUSION: The choice of an antidepressant depends on multiple aspects, among which the cost of treatment plays a crucial role. Among the drugs compared, fluoxetine seems to offer greater value for money. The study emphasizes that selective serotonin reuptake inhibitors are the most commonly prescribed antidepressants not only because of their favorable pharmacological profile but also because of their affordability.","author":[{"dropping-particle":"","family":"Salian","given":"Harshit Hemant","non-dropping-particle":"","parse-names":false,"suffix":""},{"dropping-particle":"V","family":"Raghav","given":"M","non-dropping-particle":"","parse-names":false,"suffix":""},{"dropping-particle":"","family":"Rawat","given":"Vikram Singh","non-dropping-particle":"","parse-names":false,"suffix":""},{"dropping-particle":"","family":"Divakar","given":"A","non-dropping-particle":"","parse-names":false,"suffix":""}],"container-title":"Indian journal of pharmacology","id":"ITEM-2","issue":"5","issued":{"date-parts":[["2023"]]},"language":"eng","page":"293-298","publisher-place":"India","title":"Cost</w:instrText>
      </w:r>
      <w:r w:rsidR="005C117F">
        <w:rPr>
          <w:rFonts w:ascii="Cambria Math" w:hAnsi="Cambria Math" w:cs="Cambria Math"/>
          <w:lang w:bidi="fa-IR"/>
        </w:rPr>
        <w:instrText>‑</w:instrText>
      </w:r>
      <w:r w:rsidR="005C117F">
        <w:rPr>
          <w:rFonts w:cs="B Nazanin"/>
          <w:lang w:bidi="fa-IR"/>
        </w:rPr>
        <w:instrText>minimization analysis of escitalopram, fluoxetine, and amitriptyline in the treatment of depression","type":"article-journal","volume":"55"},"uris":["http://www.mendeley.com/documents/?uuid=b1aac105-a839-402d-accc-29f8b8f73e21"]}],"mendeley":{"formattedCitation":"(Croatto et al., 2023; Salian et al., 2023)","plainTextFormattedCitation":"(Croatto et al., 2023; Salian et al., 2023)","previouslyFormattedCitation":"(Croatto et al., 2023; Salian et al., 2023)"},"properties":{"noteIndex":0},"schema":"https://github.com/citation-style-language/schema/raw/master/csl-citation.json"}</w:instrText>
      </w:r>
      <w:r w:rsidR="005C117F">
        <w:rPr>
          <w:rFonts w:cs="B Nazanin"/>
          <w:rtl/>
          <w:lang w:bidi="fa-IR"/>
        </w:rPr>
        <w:fldChar w:fldCharType="separate"/>
      </w:r>
      <w:r w:rsidR="005C117F" w:rsidRPr="005C117F">
        <w:rPr>
          <w:rFonts w:cs="B Nazanin"/>
          <w:noProof/>
          <w:lang w:bidi="fa-IR"/>
        </w:rPr>
        <w:t>(Croatto et al., 2023; Salian et al., 2023)</w:t>
      </w:r>
      <w:r w:rsidR="005C117F">
        <w:rPr>
          <w:rFonts w:cs="B Nazanin"/>
          <w:rtl/>
          <w:lang w:bidi="fa-IR"/>
        </w:rPr>
        <w:fldChar w:fldCharType="end"/>
      </w:r>
      <w:r w:rsidR="005C117F">
        <w:rPr>
          <w:rFonts w:cs="B Nazanin" w:hint="cs"/>
          <w:rtl/>
          <w:lang w:bidi="fa-IR"/>
        </w:rPr>
        <w:t xml:space="preserve"> </w:t>
      </w:r>
      <w:r>
        <w:rPr>
          <w:rFonts w:cs="B Nazanin" w:hint="cs"/>
          <w:rtl/>
          <w:lang w:bidi="fa-IR"/>
        </w:rPr>
        <w:t xml:space="preserve">. تحقیقات نشان می دهد مصرف فلوکستین فرد را دچار افزایش وزن می کند، همچنین باعث کاهش فشار خون در فرد می شود و در شرایط آزمایشگاهی نشان داده که می تواند یک آنتی اکسیدان باشد اما از نظر قلبی و عروقی نسبت به سایر داروهای این دسته مثل سرترالین عوارض جدی تری را ایجاد می کند. مداخلات روان درمانی، ورزش و </w:t>
      </w:r>
      <w:r>
        <w:rPr>
          <w:rFonts w:cs="B Nazanin"/>
          <w:lang w:bidi="fa-IR"/>
        </w:rPr>
        <w:t>SSRI</w:t>
      </w:r>
      <w:r>
        <w:rPr>
          <w:rFonts w:cs="B Nazanin" w:hint="cs"/>
          <w:rtl/>
          <w:lang w:bidi="fa-IR"/>
        </w:rPr>
        <w:t xml:space="preserve"> ها پیامد های سلامت جسمی خاصی را در اختلالات خلقی بهبود می بخشند. تعداد کمی از آنها در درمان افسردگی بی اثر هستند اما مداخلات دارویی مختلفی با اثرات منفی همراه است</w:t>
      </w:r>
      <w:r w:rsidR="005E0343">
        <w:rPr>
          <w:rFonts w:cs="B Nazanin" w:hint="cs"/>
          <w:rtl/>
          <w:lang w:bidi="fa-IR"/>
        </w:rPr>
        <w:t xml:space="preserve">. انتخاب درمان های مؤثر با پروفایل های بیماران از نظر جسمی باید در اولویت قرار گیرند و هم خوانی داشته باشند تا مراحل درمانی ناهمگونی </w:t>
      </w:r>
    </w:p>
    <w:p w14:paraId="0F584C27" w14:textId="6C10DF54" w:rsidR="00B764B7" w:rsidRPr="005C117F" w:rsidRDefault="005E0343" w:rsidP="005C117F">
      <w:pPr>
        <w:bidi/>
        <w:spacing w:after="0" w:line="240" w:lineRule="auto"/>
        <w:jc w:val="lowKashida"/>
        <w:outlineLvl w:val="0"/>
        <w:rPr>
          <w:rFonts w:cs="B Nazanin"/>
          <w:rtl/>
          <w:lang w:bidi="fa-IR"/>
        </w:rPr>
      </w:pPr>
      <w:r>
        <w:rPr>
          <w:rFonts w:cs="B Nazanin" w:hint="cs"/>
          <w:rtl/>
          <w:lang w:bidi="fa-IR"/>
        </w:rPr>
        <w:t>ایجاد نکند</w:t>
      </w:r>
      <w:r w:rsidR="005C117F">
        <w:rPr>
          <w:rFonts w:cs="B Nazanin"/>
          <w:rtl/>
          <w:lang w:bidi="fa-IR"/>
        </w:rPr>
        <w:fldChar w:fldCharType="begin" w:fldLock="1"/>
      </w:r>
      <w:r w:rsidR="006D238B">
        <w:rPr>
          <w:rFonts w:cs="B Nazanin"/>
          <w:lang w:bidi="fa-IR"/>
        </w:rPr>
        <w:instrText>ADDIN CSL_CITATION {"citationItems":[{"id":"ITEM-1","itemData":{"DOI":"10.1056/NEJMoa1915784","ISSN":"1533-4406 (Electronic)","PMID":"32348643","abstract":"BACKGROUND: Persons with mental disorders are at a higher risk than the general  population for the subsequent development of certain medical conditions. METHODS: We used a population-based cohort from Danish national registries that included data on more than 5.9 million persons born in Denmark from 1900 through 2015 and followed them from 2000 through 2016, for a total of 83.9 million person-years. We assessed 10 broad types of mental disorders and 9 broad categories of medical conditions (which encompassed 31 specific conditions). We used Cox regression models to calculate overall hazard ratios and time-dependent hazard ratios for pairs of mental disorders and medical conditions, after adjustment for age, sex, calendar time, and previous mental disorders. Absolute risks were estimated with the use of competing-risks survival analyses. RESULTS: A total of 698,874 of 5,940,299 persons (11.8%) were identified as having a mental disorder. The median age of the total population was 32.1 years at entry into the cohort and 48.7 years at the time of the last follow-up. Persons with a mental disorder had a higher risk than those without such disorders with respect to 76 of 90 pairs of mental disorders and medical conditions. The median hazard ratio for an association between a mental disorder and a medical condition was 1.37. The lowest hazard ratio was 0.82 for organic mental disorders and the broad category of cancer (95% confidence interval [CI], 0.80 to 0.84), and the highest was 3.62 for eating disorders and urogenital conditions (95% CI, 3.11 to 4.22). Several specific pairs showed a reduced risk (e.g., schizophrenia and musculoskeletal conditions). Risks varied according to the time since the diagnosis of a mental disorder. The absolute risk of a medical condition within 15 years after a mental disorder was diagnosed varied from 0.6% for a urogenital condition among persons with a developmental disorder to 54.1% for a circulatory disorder among those with an organic mental disorder. CONCLUSIONS: Most mental disorders were associated with an increased risk of a subsequent medical condition; hazard ratios ranged from 0.82 to 3.62 and varied according to the time since the diagnosis of the mental disorder. (Funded by the Danish National Research Foundation and others; COMO-GMC ClinicalTrials.gov number, NCT03847753.).","author":[{"dropping-particle":"","family":"Momen","given":"Natalie C","non-dropping-particle":"","parse-names":false,"suffix":""},{"dropping-particle":"","family":"Plana-Ripoll","given":"Oleguer","non-dropping-particle":"","parse-names":false,"suffix":""},{"dropping-particle":"","family":"Agerbo","given":"Esben","non-dropping-particle":"","parse-names":false,"suffix":""},{"dropping-particle":"","family":"Benros","given":"Michael E","non-dropping-particle":"","parse-names":false,"suffix":""},{"dropping-particle":"","family":"Børglum","given":"Anders D","non-dropping-particle":"","parse-names":false,"suffix":""},{"dropping-particle":"","family":"Christensen","given":"Maria K","non-dropping-particle":"","parse-names":false,"suffix":""},{"dropping-particle":"","family":"Dalsgaard","given":"Søren","non-dropping-particle":"","parse-names":false,"suffix":""},{"dropping-particle":"","family":"Degenhardt","given":"Louisa","non-dropping-particle":"","parse-names":false,"suffix":""},{"dropping-particle":"","family":"Jonge","given":"Peter","non-dropping-particle":"de","parse-names":false,"suffix":""},{"dropping-particle":"","family":"Debost","given":"Jean-Christophe P G","non-dropping-particle":"","parse-names":false,"suffix":""},{"dropping-particle":"","family":"Fenger-Grøn","given":"Morten","non-dropping-particle":"","parse-names":false,"suffix":""},{"dropping-particle":"","family":"Gunn","given":"Jane M","non-dropping-particle":"","parse-names":false,"suffix":""},{"dropping-particle":"","family":"Iburg","given":"Kim M","non-dropping-particle":"","parse-names":false,"suffix":""},{"dropping-particle":"V","family":"Kessing","given":"Lars","non-dropping-particle":"","parse-names":false,"suffix":""},{"dropping-particle":"","family":"Kessler","given":"Ronald C","non-dropping-particle":"","parse-names":false,"suffix":""},{"dropping-particle":"","family":"Laursen","given":"Thomas M","non-dropping-particle":"","parse-names":false,"suffix":""},{"dropping-particle":"","family":"Lim","given":"Carmen C W","non-dropping-particle":"","parse-names":false,"suffix":""},{"dropping-particle":"","family":"Mors","given":"Ole","non-dropping-particle":"","parse-names":false,"suffix":""},{"dropping-particle":"","family":"Mortensen","given":"Preben B","non-dropping-particle":"","parse-names":false,"suffix":""},{"dropping-particle":"","family":"Musliner","given":"Katherine L","non-dropping-particle":"","parse-names":false,"suffix":""},{"dropping-particle":"","family":"Nordentoft","given":"Merete","non-dropping-particle":"","parse-names":false,"suffix":""},{"dropping-particle":"","family":"Pedersen","given":"Carsten B","non-dropping-particle":"","parse-names":false,"suffix":""},{"dropping-particle":"V","family":"Petersen","given":"Liselotte","non-dropping-particle":"","parse-names":false,"suffix":""},{"dropping-particle":"","family":"Ribe","given":"Anette R","non-dropping-particle":"","parse-names":false,"suffix":""},{"dropping-particle":"","family":"Roest","given":"Annelieke M","non-dropping-particle":"","parse-names":false,"suffix":""},{"dropping-particle":"","family":"Saha","given":"Sukanta","non-dropping-particle":"","parse-names":false,"suffix":""},{"dropping-particle":"","family":"Schork","given":"Andrew J","non-dropping-particle":"","parse-names":false,"suffix":""},{"dropping-particle":"","family":"Scott","given":"Kate M","non-dropping-particle":"","parse-names":false,"suffix":""},{"dropping-particle":"","family":"Sievert","given":"Carson","non-dropping-particle":"","parse-names":false,"suffix":""},{"dropping-particle":"","family":"Sørensen","given":"Holger J","non-dropping-particle":"","parse-names":false,"suffix":""},{"dropping-particle":"","family":"Stedman","given":"Terry J","non-dropping-particle":"","parse-names":false,"suffix":""},{"dropping-particle":"","family":"Vestergaard","given":"Mogens","non-dropping-particle":"","parse-names":false,"suffix":""},{"dropping-particle":"","family":"Vilhjalmsson","given":"Bjarni","non-dropping-particle":"","parse-names":false,"suffix":""},{"dropping-particle":"","family":"Werge","given":"Thomas","non-dropping-particle":"","parse-names":false,"suffix":""},{"dropping-particle":"","family":"Weye","given":"Nanna","non-dropping-particle":"","parse-names":false,"suffix":""},{"dropping-particle":"","family":"Whiteford","given":"Harvey A","non-dropping-particle":"","parse-names":false,"suffix":""},{"dropping-particle":"","family":"Prior","given":"Anders","non-dropping-particle":"","parse-names":false,"suffix":""},{"dropping-particle":"","family":"McGrath","given":"John J","non-dropping-particle":"","parse-names":false,"suffix":""}],"container-title":"The New England journal of medicine","id":"ITEM-1","issue":"18","issued":{"date-parts":[["2020","4"]]},"language":"eng","page":"1721-1731","publisher-place":"United States","title":"Association between Mental Disorders and Subsequent Medical Conditions.","type":"article-journal","volume":"382"},"uris":["http://www.mendeley.com/documents/?uuid=169cf382-8a7c-4133-8b30-4229efecc213"]}],"mendeley":{"formattedCitation":"(Momen et al., 2020)","plainTextFormattedCitation":"(Momen et al., 2020)","previouslyFormattedCitation":"(Momen et al., 2020)"},"properties":{"noteIndex":0},"schema":"https://github.com/citation-style-language/schema/raw/master/csl-citation.json"}</w:instrText>
      </w:r>
      <w:r w:rsidR="005C117F">
        <w:rPr>
          <w:rFonts w:cs="B Nazanin"/>
          <w:rtl/>
          <w:lang w:bidi="fa-IR"/>
        </w:rPr>
        <w:fldChar w:fldCharType="separate"/>
      </w:r>
      <w:r w:rsidR="005C117F" w:rsidRPr="005C117F">
        <w:rPr>
          <w:rFonts w:cs="B Nazanin"/>
          <w:noProof/>
          <w:lang w:bidi="fa-IR"/>
        </w:rPr>
        <w:t>(Momen et al., 2020)</w:t>
      </w:r>
      <w:r w:rsidR="005C117F">
        <w:rPr>
          <w:rFonts w:cs="B Nazanin"/>
          <w:rtl/>
          <w:lang w:bidi="fa-IR"/>
        </w:rPr>
        <w:fldChar w:fldCharType="end"/>
      </w:r>
      <w:r>
        <w:rPr>
          <w:rFonts w:cs="B Nazanin" w:hint="cs"/>
          <w:rtl/>
          <w:lang w:bidi="fa-IR"/>
        </w:rPr>
        <w:t>. مسئله دیگر هزینه های درمان افسردگی است، اسیتالوپرام، فلوکستین و آمیتریپتیلین و غیره داروهایی هستند که معمولا در درمان افسردگی استفاده می شوند. ارزیابی فارماکواکونومی این داروها از آنجایی اهمیت پیدا می کند که برای مدت طولانی تجویز می شوند و افسردگی بار اقتصادی قابل توجهی ایجاد می کند. به حداقل رساندن هزینه ها به کاهش هزینه سالانه درمان کمک می کند و منجربه به پایبندی بهتر به دارو و درنهایت نتایج بهتر برای بیمار می شود. تجویز داروی ضد افسردگی به جنبه های متعددی بستگی دارد که در میان آنها هزینه درمان نقش حیاتی دارد. در این میان داروی فلوکستین ارزش خرید بیشتری در برابر قیمت دارد. مهار کننده های انتخابی بازجذب سروتونین نه تنها به دلیل مشخصات دارویی مطلوب</w:t>
      </w:r>
      <w:r w:rsidR="00B61AF8">
        <w:rPr>
          <w:rFonts w:cs="B Nazanin" w:hint="cs"/>
          <w:rtl/>
          <w:lang w:bidi="fa-IR"/>
        </w:rPr>
        <w:t>، بلکه به دلیل مقرون به صرفه بودن، رایج ترین داروهای ضد افسردگی تجویز شده هستند</w:t>
      </w:r>
      <w:r w:rsidR="006D238B">
        <w:rPr>
          <w:rFonts w:cs="B Nazanin" w:hint="cs"/>
          <w:rtl/>
          <w:lang w:bidi="fa-IR"/>
        </w:rPr>
        <w:t xml:space="preserve"> </w:t>
      </w:r>
      <w:r w:rsidR="006D238B">
        <w:rPr>
          <w:rFonts w:cs="B Nazanin"/>
          <w:rtl/>
          <w:lang w:bidi="fa-IR"/>
        </w:rPr>
        <w:fldChar w:fldCharType="begin" w:fldLock="1"/>
      </w:r>
      <w:r w:rsidR="006D238B">
        <w:rPr>
          <w:rFonts w:cs="B Nazanin"/>
          <w:lang w:bidi="fa-IR"/>
        </w:rPr>
        <w:instrText>ADDIN CSL_CITATION {"citationItems":[{"id":"ITEM-1","itemData":{"DOI":"10.3724/zdxbyxb-2022-0145","ISSN":"1008-9292 (Print)","PMID":"37202104","abstract":"OBJECTIVE: To evaluate the efficacy and safety of antidepressants in treatment of  depression disorder in children and adolescents by network meta-analysis. METHODS: Databases of PubMed, Cochrane Library, EMBASE, Web of Science, PsycINFO, CBM, CNKI and Wanfang Data were searched for randomized controlled trials (RCT) related to antidepressants in treatment of children and adolescents with depression from inception to December 2021. Quality assessment and data extraction from the included RCTs were performed. Statistical analyses of efficacy and tolerability were conducted with Stata 15.1 software. Surface under the cumulative ranking (SUCAR) was used to rank the value of the antidepressants. RESULTS: A total of 33 RCTs were included in 32 articles, involving 6949 patients. There are 13 antidepressants used in total, including amitriptyline, vilazodone, fluoxetine, selegiline, paroxetine, imipramine, desipramine, sertraline, nortriptyline, escitalopram, citalopram, venlafaxine and duloxetine. The results of network meta-analysis showed that the efficacy of duloxetine ( OR=1.95, 95% CI: 1.41-2.69), fluoxetine ( OR=1.73, 95% CI: 1.40-2.14), venlafaxine ( OR=1.37, 95% CI: 1.04-1.80) and escitalopram ( OR=1.48, 95% CI: 1.12-1.95) were significantly higher than that of placebos (all P&lt;0.05); the probability cumulative ranks were duloxetine (87.0%), amitriptyline (83.3%), fluoxetine (79.0%), escitalopram (62.7%), etc. The results showed that the intolerability of patients receiving imipramine ( OR=0.15, 95% CI: 0.08-0.27), sertraline ( OR=0.33, 95% CI: 0.16-0.71), venlafaxine ( OR=0.35, 95% CI: 0.17-0.72), duloxetine ( OR=0.35, 95% CI: 0.17-0.73) and paroxetine ( OR=0.52, 95% CI: 0.30-0.88) were significantly higher than that of placebos (all P&lt;0.05), and the probability cumulative ranks were imipramine (95.7%), sertraline (69.6%), venlafaxine (68.6%), duloxetine (68.2%), etc. Conclusion: Among 13 antidepressants, duloxetine, fluoxetine, escitalopram and venlafaxine are significantly better than placebo in terms of efficacy, but duloxetine and venlafaxine are less well tolerated.","author":[{"dropping-particle":"","family":"Rao","given":"Yanxiao","non-dropping-particle":"","parse-names":false,"suffix":""},{"dropping-particle":"","family":"Yang","given":"Rongwang","non-dropping-particle":"","parse-names":false,"suffix":""},{"dropping-particle":"","family":"Zhao","given":"Jing","non-dropping-particle":"","parse-names":false,"suffix":""},{"dropping-particle":"","family":"Cao","given":"Qingjiu","non-dropping-particle":"","parse-names":false,"suffix":""}],"container-title":"Zhejiang da xue xue bao. Yi xue ban = Journal of Zhejiang University. Medical  sciences","id":"ITEM-1","issue":"4","issued":{"date-parts":[["2022","8"]]},"language":"eng","page":"480-490","publisher-place":"China","title":"Efficacy and tolerability of antidepressant drugs in treatment of depression in  children and adolescents: a network meta-analysis.","type":"article-journal","volume":"51"},"uris":["http://www.mendeley.com/documents/?uuid=34fd243b-c30b-497f-a9ef-0df028f3c518"]}],"mendeley":{"formattedCitation":"(Rao et al., 2022)","plainTextFormattedCitation":"(Rao et al., 2022)","previouslyFormattedCitation":"(Rao et al., 2022)"},"properties":{"noteIndex":0},"schema":"https://github.com/citation-style-language/schema/raw/master/csl-citation.json"}</w:instrText>
      </w:r>
      <w:r w:rsidR="006D238B">
        <w:rPr>
          <w:rFonts w:cs="B Nazanin"/>
          <w:rtl/>
          <w:lang w:bidi="fa-IR"/>
        </w:rPr>
        <w:fldChar w:fldCharType="separate"/>
      </w:r>
      <w:r w:rsidR="006D238B" w:rsidRPr="006D238B">
        <w:rPr>
          <w:rFonts w:cs="B Nazanin"/>
          <w:noProof/>
          <w:lang w:bidi="fa-IR"/>
        </w:rPr>
        <w:t>(Rao et al., 2022)</w:t>
      </w:r>
      <w:r w:rsidR="006D238B">
        <w:rPr>
          <w:rFonts w:cs="B Nazanin"/>
          <w:rtl/>
          <w:lang w:bidi="fa-IR"/>
        </w:rPr>
        <w:fldChar w:fldCharType="end"/>
      </w:r>
      <w:r w:rsidR="00B61AF8">
        <w:rPr>
          <w:rFonts w:cs="B Nazanin" w:hint="cs"/>
          <w:rtl/>
          <w:lang w:bidi="fa-IR"/>
        </w:rPr>
        <w:t>. یافته ها حاکی از آن است که بیشتر اختلالات روانی  با افزایش خطر ابتلا به یک بیماری پزشکی بعدی مرتبط است و می تواند ایجاد کننده یک عارضه محسوس پزشکی باشد. همچنین تأثیر فلوکستین در شرایط خاص متفاوت است به طور مثال یافته ها نشان می دهد فلوکستین به طور قابل توجهی افسردگی پس از سکته مغزی ایسکمیک را بهبود نمی بخشد و تأثیر این دارو بر فردی که دارای شرایط خاص مانند مثال مذکور است، نامعلوم می باشد.</w:t>
      </w:r>
      <w:r w:rsidR="00705347">
        <w:rPr>
          <w:rFonts w:cs="B Nazanin" w:hint="cs"/>
          <w:rtl/>
          <w:lang w:bidi="fa-IR"/>
        </w:rPr>
        <w:t xml:space="preserve"> در اولین سنتز تحقیقاتی در این زمینه نشان داده است یافته های قبلی مبنی بر اینکه داروهای ضد افسردگی به غیر از افسردگی شدید، فایده کمی دارند را تأیید نمی کند. داروهای ضد افسردگی مثل فلوکستین و ونلافاکسین برای افسردگی اساسی، در همه گروه های سنی مؤثر هستند اگه چه این اثربخشی در جوانان و بزرگسالان در مقایسه با بیماران سالمند بیشتر است. به طور کلی ثابت شده است، فلوکستین درمان مؤثر افسردگی در سنین پایین است و هرچه سن مصرف کننده پایین تر باشد شدت تأثیر و حصول نتیجه بهتر خواهد بود</w:t>
      </w:r>
      <w:r w:rsidR="00136F5A">
        <w:rPr>
          <w:rFonts w:cs="B Nazanin"/>
          <w:rtl/>
          <w:lang w:bidi="fa-IR"/>
        </w:rPr>
        <w:fldChar w:fldCharType="begin" w:fldLock="1"/>
      </w:r>
      <w:r w:rsidR="005F3099">
        <w:rPr>
          <w:rFonts w:cs="B Nazanin"/>
          <w:lang w:bidi="fa-IR"/>
        </w:rPr>
        <w:instrText>ADDIN CSL_CITATION {"citationItems":[{"id":"ITEM-1","itemData":{"DOI":"10.1001/archgenpsychiatry.2011.2044","ISSN":"1538-3636 (Electronic)","PMID":"22393205","abstract":"CONTEXT: Some meta-analyses suggest that efficacy of antidepressants for major  depression is overstated and limited to severe depression. OBJECTIVE: To determine the short-term efficacy of antidepressants for treating major depressive disorder in youth, adult, and geriatric populations. DATA SOURCES: Reanalysis of all intent-to-treat person-level longitudinal data during the first 6 weeks of treatment of major depressive disorder from 12 adult, 4 geriatric, and 4 youth randomized controlled trials of fluoxetine hydrochloride and 21 adult trials of venlafaxine hydrochloride. STUDY SELECTION: All sponsor-conducted randomized controlled trials of fluoxetine and venlafaxine. DATA EXTRACTION: Children's Depression Rating Scale-Revised scores (youth population), Hamilton Depression Rating Scale scores (adult and geriatric populations), and estimated response and remission rates at 6 weeks were analyzed for 2635 adults, 960 geriatric patients, and 708 youths receiving fluoxetine and for 2421 adults receiving immediate-release venlafaxine and 2461 adults receiving extended-release venlafaxine. DATA SYNTHESIS: Patients in all age and drug groups had significantly greater improvement relative to control patients receiving placebo. The differential rate of improvement was largest for adults receiving fluoxetine (34.6% greater than those receiving placebo). Youths had the largest treated vs control difference in response rates (24.1%) and remission rates (30.1%), with adult differences generally in the 15.6% (remission) to 21.4% (response) range. Geriatric patients had the smallest drug-placebo differences, an 18.5% greater rate of improvement, 9.9% for response and 6.5% for remission. Immediate-release venlafaxine produced larger effects than extended-release venlafaxine. Baseline severity could not be shown to affect symptom reduction. CONCLUSIONS: To our knowledge, this is the first research synthesis in this area to use complete longitudinal person-level data from a large set of published and unpublished studies. The results do not support previous findings that antidepressants show little benefit except for severe depression. The antidepressants fluoxetine and venlafaxine are efficacious for major depressive disorder in all age groups, although more so in youths and adults compared with geriatric patients. Baseline severity was not significantly related to degree of treatment advantage over placebo.","author":[{"dropping-particle":"","family":"Gibbons","given":"Robert D","non-dropping-particle":"","parse-names":false,"suffix":""},{"dropping-particle":"","family":"Hur","given":"Kwan","non-dropping-particle":"","parse-names":false,"suffix":""},{"dropping-particle":"","family":"Brown","given":"C Hendricks","non-dropping-particle":"","parse-names":false,"suffix":""},{"dropping-particle":"","family":"Davis","given":"John M","non-dropping-particle":"","parse-names":false,"suffix":""},{"dropping-particle":"","family":"Mann","given":"J John","non-dropping-particle":"","parse-names":false,"suffix":""}],"container-title":"Archives of general psychiatry","id":"ITEM-1","issue":"6","issued":{"date-parts":[["2012","6"]]},"language":"eng","page":"572-579","publisher-place":"United States","title":"Benefits from antidepressants: synthesis of 6-week patient-level outcomes from  double-blind placebo-controlled randomized trials of fluoxetine and venlafaxine.","type":"article-journal","volume":"69"},"uris":["http://www.mendeley.com/documents/?uuid=d96ada12-54ce-4feb-9e31-b83aecafb9dd"]}],"mendeley":{"formattedCitation":"(Gibbons et al., 2012)","plainTextFormattedCitation":"(Gibbons et al., 2012)","previouslyFormattedCitation":"(Gibbons et al., 2012)"},"properties":{"noteIndex":0},"schema":"https://github.com/citation-style-language/schema/raw/master/csl-citation.json"}</w:instrText>
      </w:r>
      <w:r w:rsidR="00136F5A">
        <w:rPr>
          <w:rFonts w:cs="B Nazanin"/>
          <w:rtl/>
          <w:lang w:bidi="fa-IR"/>
        </w:rPr>
        <w:fldChar w:fldCharType="separate"/>
      </w:r>
      <w:r w:rsidR="00136F5A" w:rsidRPr="00136F5A">
        <w:rPr>
          <w:rFonts w:cs="B Nazanin"/>
          <w:noProof/>
          <w:lang w:bidi="fa-IR"/>
        </w:rPr>
        <w:t>(Gibbons et al., 2012)</w:t>
      </w:r>
      <w:r w:rsidR="00136F5A">
        <w:rPr>
          <w:rFonts w:cs="B Nazanin"/>
          <w:rtl/>
          <w:lang w:bidi="fa-IR"/>
        </w:rPr>
        <w:fldChar w:fldCharType="end"/>
      </w:r>
      <w:r w:rsidR="00136F5A">
        <w:rPr>
          <w:rFonts w:cs="B Nazanin" w:hint="cs"/>
          <w:rtl/>
          <w:lang w:bidi="fa-IR"/>
        </w:rPr>
        <w:t>.</w:t>
      </w:r>
      <w:r w:rsidR="00705347">
        <w:rPr>
          <w:rFonts w:cs="B Nazanin" w:hint="cs"/>
          <w:rtl/>
          <w:lang w:bidi="fa-IR"/>
        </w:rPr>
        <w:t>یافته های حاضر نشان می دهد که اثربخشی درمان</w:t>
      </w:r>
      <w:r w:rsidR="00705347">
        <w:rPr>
          <w:rFonts w:cs="B Nazanin"/>
          <w:lang w:bidi="fa-IR"/>
        </w:rPr>
        <w:t>ADM</w:t>
      </w:r>
      <w:r w:rsidR="00705347">
        <w:rPr>
          <w:rFonts w:cs="B Nazanin" w:hint="cs"/>
          <w:rtl/>
          <w:lang w:bidi="fa-IR"/>
        </w:rPr>
        <w:t xml:space="preserve"> برای افسردگی به طور قابل توجهی به عنوان تابعی از شدت علائم متفاوت است. اثرات دارویی«واقعی»(مزیت</w:t>
      </w:r>
      <w:r w:rsidR="00705347">
        <w:rPr>
          <w:rFonts w:cs="B Nazanin"/>
          <w:lang w:bidi="fa-IR"/>
        </w:rPr>
        <w:t>ADM</w:t>
      </w:r>
      <w:r w:rsidR="00705347">
        <w:rPr>
          <w:rFonts w:cs="B Nazanin" w:hint="cs"/>
          <w:rtl/>
          <w:lang w:bidi="fa-IR"/>
        </w:rPr>
        <w:t xml:space="preserve"> نسبت به دارونما)در بین بیماران افسرده با علائم پایه خفیف، متوسط و شدید وجود نداشت یا ناچیز بود. در حالی که برای بیماران با علائم بسیار شدید، زیاد بود. برای نمرات شدت پایه در</w:t>
      </w:r>
      <w:r w:rsidR="00062262">
        <w:rPr>
          <w:rFonts w:cs="B Nazanin"/>
          <w:lang w:bidi="fa-IR"/>
        </w:rPr>
        <w:t>HRSD</w:t>
      </w:r>
      <w:r w:rsidR="00062262">
        <w:rPr>
          <w:rFonts w:cs="B Nazanin" w:hint="cs"/>
          <w:rtl/>
          <w:lang w:bidi="fa-IR"/>
        </w:rPr>
        <w:t xml:space="preserve"> کمتر از 25 درصد، تخمین های مربوط به میزان تفاوت های دارو و دارونما، هیچ یک از دو آستانه اهمیت بالینی پیشنهادی</w:t>
      </w:r>
      <w:r w:rsidR="00062262">
        <w:rPr>
          <w:rFonts w:cs="B Nazanin"/>
          <w:lang w:bidi="fa-IR"/>
        </w:rPr>
        <w:t>NICE</w:t>
      </w:r>
      <w:r w:rsidR="00062262">
        <w:rPr>
          <w:rFonts w:cs="B Nazanin" w:hint="cs"/>
          <w:rtl/>
          <w:lang w:bidi="fa-IR"/>
        </w:rPr>
        <w:t xml:space="preserve"> را برآورده نکرد. برای بیمارانی که بالاترین سطوح شدت افسردگی پایه را داشتند،</w:t>
      </w:r>
      <w:r w:rsidR="00062262">
        <w:rPr>
          <w:rFonts w:cs="B Nazanin"/>
          <w:lang w:bidi="fa-IR"/>
        </w:rPr>
        <w:t>ADM</w:t>
      </w:r>
      <w:r w:rsidR="00062262">
        <w:rPr>
          <w:rFonts w:cs="B Nazanin" w:hint="cs"/>
          <w:rtl/>
          <w:lang w:bidi="fa-IR"/>
        </w:rPr>
        <w:t xml:space="preserve"> به طور قابل توجهی نسبت به دارونما برتر بود</w:t>
      </w:r>
      <w:r w:rsidR="005F3099">
        <w:rPr>
          <w:rFonts w:cs="B Nazanin" w:hint="cs"/>
          <w:rtl/>
          <w:lang w:bidi="fa-IR"/>
        </w:rPr>
        <w:t xml:space="preserve"> </w:t>
      </w:r>
      <w:r w:rsidR="005F3099">
        <w:rPr>
          <w:rFonts w:cs="B Nazanin"/>
          <w:rtl/>
          <w:lang w:bidi="fa-IR"/>
        </w:rPr>
        <w:fldChar w:fldCharType="begin" w:fldLock="1"/>
      </w:r>
      <w:r w:rsidR="005C117F">
        <w:rPr>
          <w:rFonts w:cs="B Nazanin"/>
          <w:lang w:bidi="fa-IR"/>
        </w:rPr>
        <w:instrText>ADDIN CSL_CITATION {"citationItems":[{"id":"ITEM-1","itemData":{"DOI":"10.1001/jama.2009.1943","ISSN":"1538-3598 (Electronic)","PMID":"20051569","abstract":"CONTEXT: Antidepressant medications represent the best established treatment for  major depressive disorder, but there is little evidence that they have a specific pharmacological effect relative to pill placebo for patients with less severe depression. OBJECTIVE: To estimate the relative benefit of medication vs placebo across a wide range of initial symptom severity in patients diagnosed with depression. DATA SOURCES: PubMed, PsycINFO, and the Cochrane Library databases were searched from January 1980 through March 2009, along with references from meta-analyses and reviews. STUDY SELECTION: Randomized placebo-controlled trials of antidepressants approved by the Food and Drug Administration in the treatment of major or minor depressive disorder were selected. Studies were included if their authors provided the requisite original data, they comprised adult outpatients, they included a medication vs placebo comparison for at least 6 weeks, they did not exclude patients on the basis of a placebo washout period, and they used the Hamilton Depression Rating Scale (HDRS). Data from 6 studies (718 patients) were included. DATA EXTRACTION: Individual patient-level data were obtained from study authors. RESULTS: Medication vs placebo differences varied substantially as a function of baseline severity. Among patients with HDRS scores below 23, Cohen d effect sizes for the difference between medication and placebo were estimated to be less than 0.20 (a standard definition of a small effect). Estimates of the magnitude of the superiority of medication over placebo increased with increases in baseline depression severity and crossed the threshold defined by the National Institute for Clinical Excellence for a clinically significant difference at a baseline HDRS score of 25. CONCLUSIONS: The magnitude of benefit of antidepressant medication compared with placebo increases with severity of depression symptoms and may be minimal or nonexistent, on average, in patients with mild or moderate symptoms. For patients with very severe depression, the benefit of medications over placebo is substantial.","author":[{"dropping-particle":"","family":"Fournier","given":"Jay C","non-dropping-particle":"","parse-names":false,"suffix":""},{"dropping-particle":"","family":"DeRubeis","given":"Robert J","non-dropping-particle":"","parse-names":false,"suffix":""},{"dropping-particle":"","family":"Hollon","given":"Steven D","non-dropping-particle":"","parse-names":false,"suffix":""},{"dropping-particle":"","family":"Dimidjian","given":"Sona","non-dropping-particle":"","parse-names":false,"suffix":""},{"dropping-particle":"","family":"Amsterdam","given":"Jay D","non-dropping-particle":"","parse-names":false,"suffix":""},{"dropping-particle":"","family":"Shelton","given":"Richard C","non-dropping-particle":"","parse-names":false,"suffix":""},{"dropping-particle":"","family":"Fawcett","given":"Jan","non-dropping-particle":"","parse-names":false,"suffix":""}],"container-title":"JAMA","id":"ITEM-1","issue":"1","issued":{"date-parts":[["2010","1"]]},"language":"eng","page":"47-53","publisher-place":"United States","title":"Antidepressant drug effects and depression severity: a patient-level  meta-analysis.","type":"article-journal","volume":"303"},"uris":["http://www.mendeley.com/documents/?uuid=6a0066a5-9d18-43f7-92ea-62f0627890f5"]}],"mendeley":{"formattedCitation":"(Fournier et al., 2010)","plainTextFormattedCitation":"(Fournier et al., 2010)","previouslyFormattedCitation":"(Fournier et al., 2010)"},"properties":{"noteIndex":0},"schema":"https://github.com/citation-style-language/schema/raw/master/csl-citation.json"}</w:instrText>
      </w:r>
      <w:r w:rsidR="005F3099">
        <w:rPr>
          <w:rFonts w:cs="B Nazanin"/>
          <w:rtl/>
          <w:lang w:bidi="fa-IR"/>
        </w:rPr>
        <w:fldChar w:fldCharType="separate"/>
      </w:r>
      <w:r w:rsidR="005F3099" w:rsidRPr="005F3099">
        <w:rPr>
          <w:rFonts w:cs="B Nazanin"/>
          <w:noProof/>
          <w:lang w:bidi="fa-IR"/>
        </w:rPr>
        <w:t>(Fournier et al., 2010)</w:t>
      </w:r>
      <w:r w:rsidR="005F3099">
        <w:rPr>
          <w:rFonts w:cs="B Nazanin"/>
          <w:rtl/>
          <w:lang w:bidi="fa-IR"/>
        </w:rPr>
        <w:fldChar w:fldCharType="end"/>
      </w:r>
      <w:r w:rsidR="005F3099">
        <w:rPr>
          <w:rFonts w:cs="B Nazanin" w:hint="cs"/>
          <w:rtl/>
          <w:lang w:bidi="fa-IR"/>
        </w:rPr>
        <w:t xml:space="preserve">. </w:t>
      </w:r>
      <w:r w:rsidR="00062262">
        <w:rPr>
          <w:rFonts w:cs="B Nazanin" w:hint="cs"/>
          <w:rtl/>
          <w:lang w:bidi="fa-IR"/>
        </w:rPr>
        <w:t xml:space="preserve">تجزیه و تحلیل فعلی نشان می دهد که تأثیر فلوکستین بر عود پس از درمان حاد، سطح افسردگی تعدیل شده است و فلوکستین خطر عود را در طول سال های بعد در میان بیمارانی که پس از بازیابی وزن دچار افسردگی متوسط یا شدیدی بودند را کاهش داده است. علاوه بر این در بیماران، فلوکستین سرعت کاهش علائم اضطراب و افسردگی را تسریع کرده و میزان بهبود عزت نفس را افزایش داده است. اگرچه یافته های فعلی براساس تجزیه و تحلیل های ثانویه از تعداد کمی از بیماران </w:t>
      </w:r>
      <w:r w:rsidR="00062262">
        <w:rPr>
          <w:rFonts w:cs="B Nazanin" w:hint="cs"/>
          <w:rtl/>
          <w:lang w:bidi="fa-IR"/>
        </w:rPr>
        <w:lastRenderedPageBreak/>
        <w:t xml:space="preserve">به عمل آمده است، اما از یک </w:t>
      </w:r>
      <w:r w:rsidR="00062262">
        <w:rPr>
          <w:rFonts w:cs="B Nazanin"/>
          <w:lang w:bidi="fa-IR"/>
        </w:rPr>
        <w:t>RCT</w:t>
      </w:r>
      <w:r w:rsidR="00062262">
        <w:rPr>
          <w:rFonts w:cs="B Nazanin" w:hint="cs"/>
          <w:rtl/>
          <w:lang w:bidi="fa-IR"/>
        </w:rPr>
        <w:t xml:space="preserve"> به دست آمده اند. علاوه براین، یافته ها با کاربرد شناخته شده داروهای ضد افسردگی در درمان افراد افسرده سازگار هستند، در</w:t>
      </w:r>
      <w:r w:rsidR="00992F09">
        <w:rPr>
          <w:rFonts w:cs="B Nazanin" w:hint="cs"/>
          <w:rtl/>
          <w:lang w:bidi="fa-IR"/>
        </w:rPr>
        <w:t xml:space="preserve"> میان بیماران دارای افسردگی شدیدتر کارآمد تر است. زیرمقیاس پرخوری عصبی در گروه سایر داروها، سریع تر از گروه فلوکستین افزایش یافت</w:t>
      </w:r>
      <w:r w:rsidR="006D238B">
        <w:rPr>
          <w:rFonts w:cs="B Nazanin" w:hint="cs"/>
          <w:rtl/>
          <w:lang w:bidi="fa-IR"/>
        </w:rPr>
        <w:t xml:space="preserve"> </w:t>
      </w:r>
      <w:r w:rsidR="006D238B">
        <w:rPr>
          <w:rFonts w:cs="B Nazanin"/>
          <w:rtl/>
          <w:lang w:bidi="fa-IR"/>
        </w:rPr>
        <w:fldChar w:fldCharType="begin" w:fldLock="1"/>
      </w:r>
      <w:r w:rsidR="006D238B">
        <w:rPr>
          <w:rFonts w:cs="B Nazanin"/>
          <w:lang w:bidi="fa-IR"/>
        </w:rPr>
        <w:instrText>ADDIN CSL_CITATION {"citationItems":[{"id":"ITEM-1","itemData":{"DOI":"10.3390/app9173631","ISBN":"2076-3417","abstract":"Major depressive disorder is a psychiatric disease having approximately a 20% lifetime prevalence in adults in the United States (U.S.), as reported by Hasin et al. in JAMA Psichiatry 2018 75, 336–346. Symptoms include low mood, anhedonia, decreased energy, alteration in appetite and weight, irritability, sleep disturbances, and cognitive deficits. Comorbidity is frequent, and patients show decreased social functioning and a high mortality rate. Environmental and genetic factors favor the development of depression, but the mechanisms by which stress negatively impacts on the brain are still not fully understood. Several recent works, mainly published during the last five years, aim at investigating the correlation between treatment with fluoxetine, a non-tricyclic antidepressant drug, and the amelioration of oxidative stress. In this work, the antioxidant activity of fluoxetine was investigated using a computational protocol based on the density functional theory approach. Particularly, the scavenging of five radicals (HO•, HOO•, CH3OO•, CH2=CHOO•, and CH3O•) was considered, focusing on hydrogen atom transfer (HAT) and radical adduct formation (RAF) mechanisms. Thermodynamic as well as kinetic aspects are discussed, and, for completeness, two metabolites of fluoxetine and serotonin, whose extracellular concentration is enhanced by fluoxetine, are included in our analysis. Indeed, fluoxetine may act as a radical scavenger, and exhibits selectivity for HO• and CH3O•, but is inefficient toward peroxyl radicals. In contrast, the radical scavenging efficiency of serotonin, which has been demonstrated in vitro, is significant, and this supports the idea of an indirect antioxidant efficiency of fluoxetine.","author":[{"dropping-particle":"","family":"Muraro","given":"Cecilia","non-dropping-particle":"","parse-names":false,"suffix":""},{"dropping-particle":"","family":"Dalla Tiezza","given":"Marco","non-dropping-particle":"","parse-names":false,"suffix":""},{"dropping-particle":"","family":"Pavan","given":"Chiara","non-dropping-particle":"","parse-names":false,"suffix":""},{"dropping-particle":"","family":"Ribaudo","given":"Giovanni","non-dropping-particle":"","parse-names":false,"suffix":""},{"dropping-particle":"","family":"Zagotto","given":"Giuseppe","non-dropping-particle":"","parse-names":false,"suffix":""},{"dropping-particle":"","family":"Orian","given":"Laura","non-dropping-particle":"","parse-names":false,"suffix":""}],"container-title":"Applied Sciences","id":"ITEM-1","issue":"17","issued":{"date-parts":[["2019"]]},"page":"3631","title":"Major Depressive Disorder and Oxidative Stress: In Silico Investigation of Fluoxetine Activity against ROS","type":"article","volume":"9"},"uris":["http://www.mendeley.com/documents/?uuid=85d6bb35-4e71-42fa-b28b-7a5136812dba"]},{"id":"ITEM-2","itemData":{"DOI":"10.1017/S003329172510127X","ISSN":"1469-8978 (Electronic)","PMID":"41022691","abstract":"BACKGROUND: Pharmacological efforts to treat anorexia nervosa (AN) have  predominantly repurposed medications that treat conditions with overlapping symptoms and yielded generally disappointing results. Despite limited empirical support, SSRIs are often prescribed to patients with AN. Whether SSRIs are effective in a subgroup of individuals with AN, such as those with depression, is not known. METHODS: A secondary analysis of a randomized trial of fluoxetine versus placebo for relapse prevention in AN was conducted. Participants (n = 92) were weight-restored women with AN who completed the Beck Depression Inventory (BDI) at the time of randomization. BDI scores were dichotomized to reflect moderate/severe depression (BDI &gt; 20, n = 26). A Cox Proportional Hazards model estimated the association of the level of depression, medication, and their interaction with time to relapse. Mixed effects models examined the effects of medication on symptom trajectories in high versus low depression groups and whether depression severity modified the effect of the drug on symptom trajectory. RESULTS: There was a significant interaction between medication and depression severity in time to relapse (hazard ratio = 0.46, 95% CI: [0.25, 0.85], p = .01). Depression severity modified the effect of fluoxetine on the time course of symptoms of depression (β = -0.27, 95% CI: [-0.42,-0.12], p = 0.001) and bulimia (β = -0.15, 95% CI: [-0.25,-0.05], p = 0.004) in the twelve month follow-up period. CONCLUSIONS: Fluoxetine was more effective than placebo in reducing relapse among more depressed, weight-restored individuals with AN. These results require replication but provide support for the use of antidepressant medication for patients with AN who remain depressed following weight restoration.","author":[{"dropping-particle":"","family":"LLoyd","given":"E Caitlin","non-dropping-particle":"","parse-names":false,"suffix":""},{"dropping-particle":"","family":"Griffen","given":"Trevor","non-dropping-particle":"","parse-names":false,"suffix":""},{"dropping-particle":"","family":"Wang","given":"Yuanjia","non-dropping-particle":"","parse-names":false,"suffix":""},{"dropping-particle":"","family":"Attia","given":"Evelyn","non-dropping-particle":"","parse-names":false,"suffix":""},{"dropping-particle":"","family":"Walsh","given":"B Timothy","non-dropping-particle":"","parse-names":false,"suffix":""}],"container-title":"Psychological medicine","id":"ITEM-2","issued":{"date-parts":[["2025","9"]]},"language":"eng","page":"e290","publisher-place":"England","title":"Fluoxetine for anorexia nervosa after weight restoration: moderation of effect by  depression.","type":"article-journal","volume":"55"},"uris":["http://www.mendeley.com/documents/?uuid=c6ead1ae-5f71-4046-8fcc-0be78a17b982"]}],"mendeley":{"formattedCitation":"(LLoyd et al., 2025; Muraro et al., 2019)","plainTextFormattedCitation":"(LLoyd et al., 2025; Muraro et al., 2019)"},"properties":{"noteIndex":0},"schema":"https://github.com/citation-style-language/schema/raw/master/csl-citation.json"}</w:instrText>
      </w:r>
      <w:r w:rsidR="006D238B">
        <w:rPr>
          <w:rFonts w:cs="B Nazanin"/>
          <w:rtl/>
          <w:lang w:bidi="fa-IR"/>
        </w:rPr>
        <w:fldChar w:fldCharType="separate"/>
      </w:r>
      <w:r w:rsidR="006D238B" w:rsidRPr="006D238B">
        <w:rPr>
          <w:rFonts w:cs="B Nazanin"/>
          <w:noProof/>
          <w:lang w:bidi="fa-IR"/>
        </w:rPr>
        <w:t>(LLoyd et al., 2025; Muraro et al., 2019)</w:t>
      </w:r>
      <w:r w:rsidR="006D238B">
        <w:rPr>
          <w:rFonts w:cs="B Nazanin"/>
          <w:rtl/>
          <w:lang w:bidi="fa-IR"/>
        </w:rPr>
        <w:fldChar w:fldCharType="end"/>
      </w:r>
      <w:r w:rsidR="00992F09">
        <w:rPr>
          <w:rFonts w:cs="B Nazanin" w:hint="cs"/>
          <w:rtl/>
          <w:lang w:bidi="fa-IR"/>
        </w:rPr>
        <w:t>.</w:t>
      </w:r>
    </w:p>
    <w:p w14:paraId="3F5EB7E3" w14:textId="77777777" w:rsidR="00992F09" w:rsidRDefault="00992F09" w:rsidP="001D0E59">
      <w:pPr>
        <w:bidi/>
        <w:spacing w:after="0" w:line="240" w:lineRule="auto"/>
        <w:jc w:val="lowKashida"/>
        <w:outlineLvl w:val="0"/>
        <w:rPr>
          <w:rFonts w:cs="B Nazanin"/>
          <w:sz w:val="32"/>
          <w:szCs w:val="32"/>
          <w:rtl/>
          <w:lang w:bidi="fa-IR"/>
        </w:rPr>
      </w:pPr>
    </w:p>
    <w:p w14:paraId="6D5F225A" w14:textId="68D35E71" w:rsidR="00992F09" w:rsidRDefault="00992F09" w:rsidP="001D0E59">
      <w:pPr>
        <w:bidi/>
        <w:spacing w:after="0" w:line="240" w:lineRule="auto"/>
        <w:jc w:val="lowKashida"/>
        <w:outlineLvl w:val="0"/>
        <w:rPr>
          <w:rFonts w:cs="B Nazanin"/>
          <w:b/>
          <w:bCs/>
          <w:rtl/>
          <w:lang w:bidi="fa-IR"/>
        </w:rPr>
      </w:pPr>
      <w:r>
        <w:rPr>
          <w:rFonts w:cs="B Nazanin" w:hint="cs"/>
          <w:b/>
          <w:bCs/>
          <w:rtl/>
          <w:lang w:bidi="fa-IR"/>
        </w:rPr>
        <w:t>3-مسئولیت کیفری</w:t>
      </w:r>
    </w:p>
    <w:p w14:paraId="5FC5F312" w14:textId="59FFC8FA" w:rsidR="00992F09" w:rsidRPr="00992F09" w:rsidRDefault="00992F09" w:rsidP="001D0E59">
      <w:pPr>
        <w:bidi/>
        <w:spacing w:after="0" w:line="240" w:lineRule="auto"/>
        <w:jc w:val="lowKashida"/>
        <w:outlineLvl w:val="0"/>
        <w:rPr>
          <w:rFonts w:cs="B Nazanin"/>
          <w:b/>
          <w:bCs/>
          <w:rtl/>
          <w:lang w:bidi="fa-IR"/>
        </w:rPr>
      </w:pPr>
      <w:r w:rsidRPr="00992F09">
        <w:rPr>
          <w:rFonts w:cs="B Nazanin" w:hint="cs"/>
          <w:b/>
          <w:bCs/>
          <w:rtl/>
          <w:lang w:bidi="fa-IR"/>
        </w:rPr>
        <w:t>1_3فعل مجرمانه</w:t>
      </w:r>
    </w:p>
    <w:p w14:paraId="140929A6" w14:textId="125DB9C0" w:rsidR="00C343EC" w:rsidRDefault="00E352F2" w:rsidP="00DD2588">
      <w:pPr>
        <w:bidi/>
        <w:spacing w:after="0" w:line="240" w:lineRule="auto"/>
        <w:jc w:val="lowKashida"/>
        <w:outlineLvl w:val="0"/>
        <w:rPr>
          <w:rFonts w:cs="B Nazanin"/>
          <w:rtl/>
          <w:lang w:bidi="fa-IR"/>
        </w:rPr>
      </w:pPr>
      <w:r>
        <w:rPr>
          <w:rFonts w:cs="B Nazanin" w:hint="cs"/>
          <w:rtl/>
          <w:lang w:bidi="fa-IR"/>
        </w:rPr>
        <w:t>برای پی بردن به مجرمانه بودن فعل پزشک در حیطه خود می بایستی با کندوکاو و تفحص در قانون سابق و لاحق به وحد ملاکی برسیم تا راهگشای مسیرمان باشد. تبصره3 ماده295 قانون مجازات اسلامی سابق اینگونه اطلاق دارد که[هرگاه بر اثر بی احتیاطی یا بی مبالاتی یا عدم مهارت و عدم رعایت مقررات مربوط به امری قتل یا ضرب یا جرح واقع شود، به نحوی که اگر آن مقررات رعایت می شد حادثه ای اتفاق نمی افتاد، فتل یا ضرب یا جرح در حکم شبه عمد خواهد بود]. یا در تبصره ماده336 قانون سابق اینگونه آمده که[تقصیر اعم است از بی احتیاطی، بی مبالاتی، عدم مهارت و عدم رعایت نظامات دولتی]. حال با مرور تبصره این دو ماده والی ذهن ما را درگیر می کند که چرا موارد مطروحه در تبصره3 ماده295 قانون سابق در حکم شبه عمد است؟واینکه اصلا تقصیر چیست؟چه مصادیقی دارد؟تفاوت آن با قصور در چیست؟با رجوع به مواد 291و295 قانون جدید می توان دریافت که چون پزشک قصد فعل دارد ولی فاقد قصد نتیجه است، موارد مطروحه در تبصره3 ماده295 قانون سابق در حکم شبه عمد است.</w:t>
      </w:r>
      <w:r w:rsidR="009D4199">
        <w:rPr>
          <w:rFonts w:cs="B Nazanin" w:hint="cs"/>
          <w:rtl/>
          <w:lang w:bidi="fa-IR"/>
        </w:rPr>
        <w:t xml:space="preserve"> پس در می یابیم که پزشک می بایست تقصیر و قصوری را مرتکب شود که مستحق مجازات باشد. در تبصره ماده 145 قانون لاحق مصادیق تقصیر را اینطور بیان کرده که[تقصیر، تعم از بی احتیاطی و بی مبالاتی است]. اما در تبصره ماده336 قانون سابق مصادیق تقصیر در 4 عنوان مطرح می شد. تفاوتی که در اینجا شاهد هستیم این است که، مصادیق تقصر در قانون سابق حصری است ولی در قانون لاحق تمثیلی. الا ایها الداعی، در قانون فعلی تقصیر اعم است از بی احتیاطی(فعل) و بی مبالاتی(ترک فعل) که با رجوع به مواد952 و 953 قانون مدنی می توان آن را دریافت. و اما در پاسخ به سؤال آخر</w:t>
      </w:r>
      <w:r w:rsidR="00A43F60">
        <w:rPr>
          <w:rFonts w:cs="B Nazanin" w:hint="cs"/>
          <w:rtl/>
          <w:lang w:bidi="fa-IR"/>
        </w:rPr>
        <w:t>، تقصیر را بدین معنا می توان نگاشت که شخص با وجود توانایی انجام کاری عاجز است و در نهایت آن را نیز ترک می کند. که با جمع بندی این مفاهیم، به کاربردن عبارت تقصیر پزشکی به جای قصور پزشکی جایزتر است.</w:t>
      </w:r>
      <w:r w:rsidR="00DD2588">
        <w:rPr>
          <w:rFonts w:cs="B Nazanin"/>
          <w:rtl/>
          <w:lang w:bidi="fa-IR"/>
        </w:rPr>
        <w:fldChar w:fldCharType="begin" w:fldLock="1"/>
      </w:r>
      <w:r w:rsidR="00DD2588">
        <w:rPr>
          <w:rFonts w:cs="B Nazanin"/>
          <w:lang w:bidi="fa-IR"/>
        </w:rPr>
        <w:instrText>ADDIN CSL_CITATION {"citationItems":[{"id":"ITEM-1","itemData":{"author":[{"dropping-particle":"","family</w:instrText>
      </w:r>
      <w:r w:rsidR="00DD2588">
        <w:rPr>
          <w:rFonts w:cs="B Nazanin"/>
          <w:rtl/>
          <w:lang w:bidi="fa-IR"/>
        </w:rPr>
        <w:instrText>":"</w:instrText>
      </w:r>
      <w:r w:rsidR="00DD2588">
        <w:rPr>
          <w:rFonts w:cs="B Nazanin" w:hint="cs"/>
          <w:rtl/>
          <w:lang w:bidi="fa-IR"/>
        </w:rPr>
        <w:instrText>رضا</w:instrText>
      </w:r>
      <w:r w:rsidR="00DD2588">
        <w:rPr>
          <w:rFonts w:cs="B Nazanin"/>
          <w:rtl/>
          <w:lang w:bidi="fa-IR"/>
        </w:rPr>
        <w:instrText>","</w:instrText>
      </w:r>
      <w:r w:rsidR="00DD2588">
        <w:rPr>
          <w:rFonts w:cs="B Nazanin"/>
          <w:lang w:bidi="fa-IR"/>
        </w:rPr>
        <w:instrText>given</w:instrText>
      </w:r>
      <w:r w:rsidR="00DD2588">
        <w:rPr>
          <w:rFonts w:cs="B Nazanin"/>
          <w:rtl/>
          <w:lang w:bidi="fa-IR"/>
        </w:rPr>
        <w:instrText>":"</w:instrText>
      </w:r>
      <w:r w:rsidR="00DD2588">
        <w:rPr>
          <w:rFonts w:cs="B Nazanin" w:hint="cs"/>
          <w:rtl/>
          <w:lang w:bidi="fa-IR"/>
        </w:rPr>
        <w:instrText>حمید</w:instrText>
      </w:r>
      <w:r w:rsidR="00DD2588">
        <w:rPr>
          <w:rFonts w:cs="B Nazanin"/>
          <w:rtl/>
          <w:lang w:bidi="fa-IR"/>
        </w:rPr>
        <w:instrText xml:space="preserve"> </w:instrText>
      </w:r>
      <w:r w:rsidR="00DD2588">
        <w:rPr>
          <w:rFonts w:cs="B Nazanin" w:hint="cs"/>
          <w:rtl/>
          <w:lang w:bidi="fa-IR"/>
        </w:rPr>
        <w:instrText>مروتی</w:instrText>
      </w:r>
      <w:r w:rsidR="00DD2588">
        <w:rPr>
          <w:rFonts w:cs="B Nazanin"/>
          <w:rtl/>
          <w:lang w:bidi="fa-IR"/>
        </w:rPr>
        <w:instrText>","</w:instrText>
      </w:r>
      <w:r w:rsidR="00DD2588">
        <w:rPr>
          <w:rFonts w:cs="B Nazanin"/>
          <w:lang w:bidi="fa-IR"/>
        </w:rPr>
        <w:instrText>non-dropping-particle":"","parse-names":false,"suffix":""}],"edition":"1","id":"ITEM-1","issued":{"date-parts":[["1400</w:instrText>
      </w:r>
      <w:r w:rsidR="00DD2588">
        <w:rPr>
          <w:rFonts w:cs="B Nazanin"/>
          <w:rtl/>
          <w:lang w:bidi="fa-IR"/>
        </w:rPr>
        <w:instrText>"]]},"</w:instrText>
      </w:r>
      <w:r w:rsidR="00DD2588">
        <w:rPr>
          <w:rFonts w:cs="B Nazanin"/>
          <w:lang w:bidi="fa-IR"/>
        </w:rPr>
        <w:instrText>title</w:instrText>
      </w:r>
      <w:r w:rsidR="00DD2588">
        <w:rPr>
          <w:rFonts w:cs="B Nazanin"/>
          <w:rtl/>
          <w:lang w:bidi="fa-IR"/>
        </w:rPr>
        <w:instrText>":"</w:instrText>
      </w:r>
      <w:r w:rsidR="00DD2588">
        <w:rPr>
          <w:rFonts w:cs="B Nazanin" w:hint="cs"/>
          <w:rtl/>
          <w:lang w:bidi="fa-IR"/>
        </w:rPr>
        <w:instrText>کتاب</w:instrText>
      </w:r>
      <w:r w:rsidR="00DD2588">
        <w:rPr>
          <w:rFonts w:cs="B Nazanin"/>
          <w:rtl/>
          <w:lang w:bidi="fa-IR"/>
        </w:rPr>
        <w:instrText xml:space="preserve"> </w:instrText>
      </w:r>
      <w:r w:rsidR="00DD2588">
        <w:rPr>
          <w:rFonts w:cs="B Nazanin" w:hint="cs"/>
          <w:rtl/>
          <w:lang w:bidi="fa-IR"/>
        </w:rPr>
        <w:instrText>حقوق</w:instrText>
      </w:r>
      <w:r w:rsidR="00DD2588">
        <w:rPr>
          <w:rFonts w:cs="B Nazanin"/>
          <w:rtl/>
          <w:lang w:bidi="fa-IR"/>
        </w:rPr>
        <w:instrText xml:space="preserve"> </w:instrText>
      </w:r>
      <w:r w:rsidR="00DD2588">
        <w:rPr>
          <w:rFonts w:cs="B Nazanin" w:hint="cs"/>
          <w:rtl/>
          <w:lang w:bidi="fa-IR"/>
        </w:rPr>
        <w:instrText>پزشکی</w:instrText>
      </w:r>
      <w:r w:rsidR="00DD2588">
        <w:rPr>
          <w:rFonts w:cs="B Nazanin"/>
          <w:rtl/>
          <w:lang w:bidi="fa-IR"/>
        </w:rPr>
        <w:instrText>","</w:instrText>
      </w:r>
      <w:r w:rsidR="00DD2588">
        <w:rPr>
          <w:rFonts w:cs="B Nazanin"/>
          <w:lang w:bidi="fa-IR"/>
        </w:rPr>
        <w:instrText>type":"book"},"uris":["http://www.mendeley.com/documents/?uuid=b07f72f7-8dc2-45db-8d8b-3e1f292fc1bb"]},{"id":"ITEM-2","itemData":{"author":[{"dropping-particle":"","family</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w:instrText>
      </w:r>
      <w:r w:rsidR="00DD2588">
        <w:rPr>
          <w:rFonts w:cs="B Nazanin"/>
          <w:lang w:bidi="fa-IR"/>
        </w:rPr>
        <w:instrText>given</w:instrText>
      </w:r>
      <w:r w:rsidR="00DD2588">
        <w:rPr>
          <w:rFonts w:cs="B Nazanin"/>
          <w:rtl/>
          <w:lang w:bidi="fa-IR"/>
        </w:rPr>
        <w:instrText>":"</w:instrText>
      </w:r>
      <w:r w:rsidR="00DD2588">
        <w:rPr>
          <w:rFonts w:cs="B Nazanin" w:hint="cs"/>
          <w:rtl/>
          <w:lang w:bidi="fa-IR"/>
        </w:rPr>
        <w:instrText>دکتر</w:instrText>
      </w:r>
      <w:r w:rsidR="00DD2588">
        <w:rPr>
          <w:rFonts w:cs="B Nazanin"/>
          <w:rtl/>
          <w:lang w:bidi="fa-IR"/>
        </w:rPr>
        <w:instrText xml:space="preserve"> </w:instrText>
      </w:r>
      <w:r w:rsidR="00DD2588">
        <w:rPr>
          <w:rFonts w:cs="B Nazanin" w:hint="cs"/>
          <w:rtl/>
          <w:lang w:bidi="fa-IR"/>
        </w:rPr>
        <w:instrText>محمد</w:instrText>
      </w:r>
      <w:r w:rsidR="00DD2588">
        <w:rPr>
          <w:rFonts w:cs="B Nazanin"/>
          <w:rtl/>
          <w:lang w:bidi="fa-IR"/>
        </w:rPr>
        <w:instrText xml:space="preserve"> </w:instrText>
      </w:r>
      <w:r w:rsidR="00DD2588">
        <w:rPr>
          <w:rFonts w:cs="B Nazanin" w:hint="cs"/>
          <w:rtl/>
          <w:lang w:bidi="fa-IR"/>
        </w:rPr>
        <w:instrText>رضا</w:instrText>
      </w:r>
      <w:r w:rsidR="00DD2588">
        <w:rPr>
          <w:rFonts w:cs="B Nazanin"/>
          <w:rtl/>
          <w:lang w:bidi="fa-IR"/>
        </w:rPr>
        <w:instrText xml:space="preserve"> </w:instrText>
      </w:r>
      <w:r w:rsidR="00DD2588">
        <w:rPr>
          <w:rFonts w:cs="B Nazanin" w:hint="cs"/>
          <w:rtl/>
          <w:lang w:bidi="fa-IR"/>
        </w:rPr>
        <w:instrText>الهی</w:instrText>
      </w:r>
      <w:r w:rsidR="00DD2588">
        <w:rPr>
          <w:rFonts w:cs="B Nazanin"/>
          <w:rtl/>
          <w:lang w:bidi="fa-IR"/>
        </w:rPr>
        <w:instrText>","</w:instrText>
      </w:r>
      <w:r w:rsidR="00DD2588">
        <w:rPr>
          <w:rFonts w:cs="B Nazanin"/>
          <w:lang w:bidi="fa-IR"/>
        </w:rPr>
        <w:instrText>non-dropping-particle":"","parse-names":false,"suffix":""}],"edition":"6","id":"ITEM-2","issued":{"date-parts":[["1398"]]},"title</w:instrText>
      </w:r>
      <w:r w:rsidR="00DD2588">
        <w:rPr>
          <w:rFonts w:cs="B Nazanin"/>
          <w:rtl/>
          <w:lang w:bidi="fa-IR"/>
        </w:rPr>
        <w:instrText>":"</w:instrText>
      </w:r>
      <w:r w:rsidR="00DD2588">
        <w:rPr>
          <w:rFonts w:cs="B Nazanin" w:hint="cs"/>
          <w:rtl/>
          <w:lang w:bidi="fa-IR"/>
        </w:rPr>
        <w:instrText>حقوق</w:instrText>
      </w:r>
      <w:r w:rsidR="00DD2588">
        <w:rPr>
          <w:rFonts w:cs="B Nazanin"/>
          <w:rtl/>
          <w:lang w:bidi="fa-IR"/>
        </w:rPr>
        <w:instrText xml:space="preserve"> </w:instrText>
      </w:r>
      <w:r w:rsidR="00DD2588">
        <w:rPr>
          <w:rFonts w:cs="B Nazanin" w:hint="cs"/>
          <w:rtl/>
          <w:lang w:bidi="fa-IR"/>
        </w:rPr>
        <w:instrText>کیفری</w:instrText>
      </w:r>
      <w:r w:rsidR="00DD2588">
        <w:rPr>
          <w:rFonts w:cs="B Nazanin"/>
          <w:rtl/>
          <w:lang w:bidi="fa-IR"/>
        </w:rPr>
        <w:instrText xml:space="preserve"> </w:instrText>
      </w:r>
      <w:r w:rsidR="00DD2588">
        <w:rPr>
          <w:rFonts w:cs="B Nazanin" w:hint="cs"/>
          <w:rtl/>
          <w:lang w:bidi="fa-IR"/>
        </w:rPr>
        <w:instrText>و</w:instrText>
      </w:r>
      <w:r w:rsidR="00DD2588">
        <w:rPr>
          <w:rFonts w:cs="B Nazanin"/>
          <w:rtl/>
          <w:lang w:bidi="fa-IR"/>
        </w:rPr>
        <w:instrText xml:space="preserve"> </w:instrText>
      </w:r>
      <w:r w:rsidR="00DD2588">
        <w:rPr>
          <w:rFonts w:cs="B Nazanin" w:hint="cs"/>
          <w:rtl/>
          <w:lang w:bidi="fa-IR"/>
        </w:rPr>
        <w:instrText>تخلفات</w:instrText>
      </w:r>
      <w:r w:rsidR="00DD2588">
        <w:rPr>
          <w:rFonts w:cs="B Nazanin"/>
          <w:rtl/>
          <w:lang w:bidi="fa-IR"/>
        </w:rPr>
        <w:instrText xml:space="preserve"> </w:instrText>
      </w:r>
      <w:r w:rsidR="00DD2588">
        <w:rPr>
          <w:rFonts w:cs="B Nazanin" w:hint="cs"/>
          <w:rtl/>
          <w:lang w:bidi="fa-IR"/>
        </w:rPr>
        <w:instrText>پزشکی</w:instrText>
      </w:r>
      <w:r w:rsidR="00DD2588">
        <w:rPr>
          <w:rFonts w:cs="B Nazanin"/>
          <w:rtl/>
          <w:lang w:bidi="fa-IR"/>
        </w:rPr>
        <w:instrText>","</w:instrText>
      </w:r>
      <w:r w:rsidR="00DD2588">
        <w:rPr>
          <w:rFonts w:cs="B Nazanin"/>
          <w:lang w:bidi="fa-IR"/>
        </w:rPr>
        <w:instrText>type":"book"},"uris":["http://www.mendeley.com/documents/?uuid=f2789279-7ba5-43a6-bd6a-033535d5eecc"]}],"mendeley</w:instrText>
      </w:r>
      <w:r w:rsidR="00DD2588">
        <w:rPr>
          <w:rFonts w:cs="B Nazanin"/>
          <w:rtl/>
          <w:lang w:bidi="fa-IR"/>
        </w:rPr>
        <w:instrText>":{"</w:instrText>
      </w:r>
      <w:r w:rsidR="00DD2588">
        <w:rPr>
          <w:rFonts w:cs="B Nazanin"/>
          <w:lang w:bidi="fa-IR"/>
        </w:rPr>
        <w:instrText>formattedCitation</w:instrText>
      </w:r>
      <w:r w:rsidR="00DD2588">
        <w:rPr>
          <w:rFonts w:cs="B Nazanin"/>
          <w:rtl/>
          <w:lang w:bidi="fa-IR"/>
        </w:rPr>
        <w:instrText>":"(</w:instrText>
      </w:r>
      <w:r w:rsidR="00DD2588">
        <w:rPr>
          <w:rFonts w:cs="B Nazanin" w:hint="cs"/>
          <w:rtl/>
          <w:lang w:bidi="fa-IR"/>
        </w:rPr>
        <w:instrText>رضا</w:instrText>
      </w:r>
      <w:r w:rsidR="00DD2588">
        <w:rPr>
          <w:rFonts w:cs="B Nazanin"/>
          <w:rtl/>
          <w:lang w:bidi="fa-IR"/>
        </w:rPr>
        <w:instrText xml:space="preserve">, 1400;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plainTextFormattedCitation</w:instrText>
      </w:r>
      <w:r w:rsidR="00DD2588">
        <w:rPr>
          <w:rFonts w:cs="B Nazanin"/>
          <w:rtl/>
          <w:lang w:bidi="fa-IR"/>
        </w:rPr>
        <w:instrText>":"(</w:instrText>
      </w:r>
      <w:r w:rsidR="00DD2588">
        <w:rPr>
          <w:rFonts w:cs="B Nazanin" w:hint="cs"/>
          <w:rtl/>
          <w:lang w:bidi="fa-IR"/>
        </w:rPr>
        <w:instrText>رضا</w:instrText>
      </w:r>
      <w:r w:rsidR="00DD2588">
        <w:rPr>
          <w:rFonts w:cs="B Nazanin"/>
          <w:rtl/>
          <w:lang w:bidi="fa-IR"/>
        </w:rPr>
        <w:instrText xml:space="preserve">, 1400;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previouslyFormattedCitation</w:instrText>
      </w:r>
      <w:r w:rsidR="00DD2588">
        <w:rPr>
          <w:rFonts w:cs="B Nazanin"/>
          <w:rtl/>
          <w:lang w:bidi="fa-IR"/>
        </w:rPr>
        <w:instrText>":"(</w:instrText>
      </w:r>
      <w:r w:rsidR="00DD2588">
        <w:rPr>
          <w:rFonts w:cs="B Nazanin" w:hint="cs"/>
          <w:rtl/>
          <w:lang w:bidi="fa-IR"/>
        </w:rPr>
        <w:instrText>رضا</w:instrText>
      </w:r>
      <w:r w:rsidR="00DD2588">
        <w:rPr>
          <w:rFonts w:cs="B Nazanin"/>
          <w:rtl/>
          <w:lang w:bidi="fa-IR"/>
        </w:rPr>
        <w:instrText xml:space="preserve">, 1400;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properties":{"noteIndex":0},"schema":"https://github.com/citation-style-language/schema/raw/master/csl-citation.json</w:instrText>
      </w:r>
      <w:r w:rsidR="00DD2588">
        <w:rPr>
          <w:rFonts w:cs="B Nazanin"/>
          <w:rtl/>
          <w:lang w:bidi="fa-IR"/>
        </w:rPr>
        <w:instrText>"}</w:instrText>
      </w:r>
      <w:r w:rsidR="00DD2588">
        <w:rPr>
          <w:rFonts w:cs="B Nazanin"/>
          <w:rtl/>
          <w:lang w:bidi="fa-IR"/>
        </w:rPr>
        <w:fldChar w:fldCharType="separate"/>
      </w:r>
      <w:r w:rsidR="00DD2588" w:rsidRPr="00DD2588">
        <w:rPr>
          <w:rFonts w:cs="B Nazanin"/>
          <w:noProof/>
          <w:rtl/>
          <w:lang w:bidi="fa-IR"/>
        </w:rPr>
        <w:t>(</w:t>
      </w:r>
      <w:r w:rsidR="00DD2588" w:rsidRPr="00DD2588">
        <w:rPr>
          <w:rFonts w:cs="B Nazanin" w:hint="cs"/>
          <w:noProof/>
          <w:rtl/>
          <w:lang w:bidi="fa-IR"/>
        </w:rPr>
        <w:t>رضا</w:t>
      </w:r>
      <w:r w:rsidR="00DD2588" w:rsidRPr="00DD2588">
        <w:rPr>
          <w:rFonts w:cs="B Nazanin"/>
          <w:noProof/>
          <w:rtl/>
          <w:lang w:bidi="fa-IR"/>
        </w:rPr>
        <w:t xml:space="preserve">, 1400; </w:t>
      </w:r>
      <w:r w:rsidR="00DD2588" w:rsidRPr="00DD2588">
        <w:rPr>
          <w:rFonts w:cs="B Nazanin" w:hint="cs"/>
          <w:noProof/>
          <w:rtl/>
          <w:lang w:bidi="fa-IR"/>
        </w:rPr>
        <w:t>منش</w:t>
      </w:r>
      <w:r w:rsidR="00DD2588" w:rsidRPr="00DD2588">
        <w:rPr>
          <w:rFonts w:cs="B Nazanin"/>
          <w:noProof/>
          <w:rtl/>
          <w:lang w:bidi="fa-IR"/>
        </w:rPr>
        <w:t>, 1398)</w:t>
      </w:r>
      <w:r w:rsidR="00DD2588">
        <w:rPr>
          <w:rFonts w:cs="B Nazanin"/>
          <w:rtl/>
          <w:lang w:bidi="fa-IR"/>
        </w:rPr>
        <w:fldChar w:fldCharType="end"/>
      </w:r>
    </w:p>
    <w:p w14:paraId="0C347FC8" w14:textId="77777777" w:rsidR="00A43F60" w:rsidRDefault="00A43F60" w:rsidP="001D0E59">
      <w:pPr>
        <w:bidi/>
        <w:spacing w:after="0" w:line="240" w:lineRule="auto"/>
        <w:jc w:val="lowKashida"/>
        <w:outlineLvl w:val="0"/>
        <w:rPr>
          <w:rFonts w:cs="B Nazanin"/>
          <w:rtl/>
          <w:lang w:bidi="fa-IR"/>
        </w:rPr>
      </w:pPr>
    </w:p>
    <w:p w14:paraId="6987C0D4" w14:textId="28539D45" w:rsidR="00A43F60" w:rsidRDefault="00A43F60" w:rsidP="001D0E59">
      <w:pPr>
        <w:bidi/>
        <w:spacing w:after="0" w:line="240" w:lineRule="auto"/>
        <w:jc w:val="lowKashida"/>
        <w:outlineLvl w:val="0"/>
        <w:rPr>
          <w:rFonts w:cs="B Nazanin"/>
          <w:b/>
          <w:bCs/>
          <w:rtl/>
          <w:lang w:bidi="fa-IR"/>
        </w:rPr>
      </w:pPr>
      <w:r w:rsidRPr="00A43F60">
        <w:rPr>
          <w:rFonts w:cs="B Nazanin" w:hint="cs"/>
          <w:b/>
          <w:bCs/>
          <w:rtl/>
          <w:lang w:bidi="fa-IR"/>
        </w:rPr>
        <w:t>2_3نتیجه مجرمانه(ورود ضرر)</w:t>
      </w:r>
    </w:p>
    <w:p w14:paraId="3CF9E945" w14:textId="51542F21" w:rsidR="00084FC0" w:rsidRDefault="008B393F" w:rsidP="00084FC0">
      <w:pPr>
        <w:bidi/>
        <w:spacing w:after="0" w:line="240" w:lineRule="auto"/>
        <w:jc w:val="lowKashida"/>
        <w:outlineLvl w:val="0"/>
        <w:rPr>
          <w:rFonts w:cs="B Nazanin"/>
          <w:rtl/>
          <w:lang w:bidi="fa-IR"/>
        </w:rPr>
      </w:pPr>
      <w:r>
        <w:rPr>
          <w:rFonts w:cs="B Nazanin" w:hint="cs"/>
          <w:rtl/>
          <w:lang w:bidi="fa-IR"/>
        </w:rPr>
        <w:t>یکی دیگر از ارکان مسئولیت کیفری پزشک ورود ضرر و یا حصول نتیجه مجرمانه است. بدین معنا که تا ورود ضرر ثابت نگردد، مسئولیت کیفری گریبان پزشک را نخواهد گرفت. با دقت در مواردی که از قانون مجازات اسلامی ذکر شد، اصولاً اگر پزشکان بر اثر اعمال حرفه خود دچار تقصیر اعم از بی احتیاطی، بی مبالاتی شوند و این تقصیر موجب ورود صدمه جسمی یا بدنی یا نقص عضو به بیمار گردد، چون در حکم شبه عمد بوده مستوجب مجازاتی جز پرداخت دیه نخواهد بود. مگر اینکه نتیجه مجرمانه منجربه فوت بیمار شود که در این خصوص ماده616 قانون مجازات اسلامی اشعار دارد</w:t>
      </w:r>
      <w:r w:rsidR="00084FC0">
        <w:rPr>
          <w:rFonts w:cs="B Nazanin" w:hint="cs"/>
          <w:rtl/>
          <w:lang w:bidi="fa-IR"/>
        </w:rPr>
        <w:t xml:space="preserve"> </w:t>
      </w:r>
      <w:r>
        <w:rPr>
          <w:rFonts w:cs="B Nazanin" w:hint="cs"/>
          <w:rtl/>
          <w:lang w:bidi="fa-IR"/>
        </w:rPr>
        <w:t>در صورتی که قتل غیر عمد به واسطه بی احتیاطی و بی مبالاتی یا اقدام به امری که مرتکب در آن مهارت نداشته است یا به سبب عدم رعایت نظامات وارد شود، مسبب به حبس از 1 تا 3 سال و نیز پرداخت دیه در صورت مطالبه از ناحیه اولیای دم محکوم خواهد شد مگر اینکه خطای محض باش</w:t>
      </w:r>
      <w:r w:rsidR="00084FC0">
        <w:rPr>
          <w:rFonts w:cs="B Nazanin" w:hint="cs"/>
          <w:rtl/>
          <w:lang w:bidi="fa-IR"/>
        </w:rPr>
        <w:t xml:space="preserve">د </w:t>
      </w:r>
      <w:r w:rsidR="00434BE4">
        <w:rPr>
          <w:rFonts w:cs="B Nazanin"/>
          <w:rtl/>
          <w:lang w:bidi="fa-IR"/>
        </w:rPr>
        <w:fldChar w:fldCharType="begin" w:fldLock="1"/>
      </w:r>
      <w:r w:rsidR="00DD2588">
        <w:rPr>
          <w:rFonts w:cs="B Nazanin"/>
          <w:lang w:bidi="fa-IR"/>
        </w:rPr>
        <w:instrText>ADDIN CSL_CITATION {"citationItems":[{"id":"ITEM-1","itemData":{"author":[{"dropping-particle":"","family</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w:instrText>
      </w:r>
      <w:r w:rsidR="00DD2588">
        <w:rPr>
          <w:rFonts w:cs="B Nazanin"/>
          <w:lang w:bidi="fa-IR"/>
        </w:rPr>
        <w:instrText>given</w:instrText>
      </w:r>
      <w:r w:rsidR="00DD2588">
        <w:rPr>
          <w:rFonts w:cs="B Nazanin"/>
          <w:rtl/>
          <w:lang w:bidi="fa-IR"/>
        </w:rPr>
        <w:instrText>":"</w:instrText>
      </w:r>
      <w:r w:rsidR="00DD2588">
        <w:rPr>
          <w:rFonts w:cs="B Nazanin" w:hint="cs"/>
          <w:rtl/>
          <w:lang w:bidi="fa-IR"/>
        </w:rPr>
        <w:instrText>دکتر</w:instrText>
      </w:r>
      <w:r w:rsidR="00DD2588">
        <w:rPr>
          <w:rFonts w:cs="B Nazanin"/>
          <w:rtl/>
          <w:lang w:bidi="fa-IR"/>
        </w:rPr>
        <w:instrText xml:space="preserve"> </w:instrText>
      </w:r>
      <w:r w:rsidR="00DD2588">
        <w:rPr>
          <w:rFonts w:cs="B Nazanin" w:hint="cs"/>
          <w:rtl/>
          <w:lang w:bidi="fa-IR"/>
        </w:rPr>
        <w:instrText>محمد</w:instrText>
      </w:r>
      <w:r w:rsidR="00DD2588">
        <w:rPr>
          <w:rFonts w:cs="B Nazanin"/>
          <w:rtl/>
          <w:lang w:bidi="fa-IR"/>
        </w:rPr>
        <w:instrText xml:space="preserve"> </w:instrText>
      </w:r>
      <w:r w:rsidR="00DD2588">
        <w:rPr>
          <w:rFonts w:cs="B Nazanin" w:hint="cs"/>
          <w:rtl/>
          <w:lang w:bidi="fa-IR"/>
        </w:rPr>
        <w:instrText>رضا</w:instrText>
      </w:r>
      <w:r w:rsidR="00DD2588">
        <w:rPr>
          <w:rFonts w:cs="B Nazanin"/>
          <w:rtl/>
          <w:lang w:bidi="fa-IR"/>
        </w:rPr>
        <w:instrText xml:space="preserve"> </w:instrText>
      </w:r>
      <w:r w:rsidR="00DD2588">
        <w:rPr>
          <w:rFonts w:cs="B Nazanin" w:hint="cs"/>
          <w:rtl/>
          <w:lang w:bidi="fa-IR"/>
        </w:rPr>
        <w:instrText>الهی</w:instrText>
      </w:r>
      <w:r w:rsidR="00DD2588">
        <w:rPr>
          <w:rFonts w:cs="B Nazanin"/>
          <w:rtl/>
          <w:lang w:bidi="fa-IR"/>
        </w:rPr>
        <w:instrText>","</w:instrText>
      </w:r>
      <w:r w:rsidR="00DD2588">
        <w:rPr>
          <w:rFonts w:cs="B Nazanin"/>
          <w:lang w:bidi="fa-IR"/>
        </w:rPr>
        <w:instrText>non-dropping-particle":"","parse-names":false,"suffix":""}],"edition":"6","id":"ITEM-1","issued":{"date-parts</w:instrText>
      </w:r>
      <w:r w:rsidR="00DD2588">
        <w:rPr>
          <w:rFonts w:cs="B Nazanin"/>
          <w:rtl/>
          <w:lang w:bidi="fa-IR"/>
        </w:rPr>
        <w:instrText>":[["1398"]]},"</w:instrText>
      </w:r>
      <w:r w:rsidR="00DD2588">
        <w:rPr>
          <w:rFonts w:cs="B Nazanin"/>
          <w:lang w:bidi="fa-IR"/>
        </w:rPr>
        <w:instrText>title</w:instrText>
      </w:r>
      <w:r w:rsidR="00DD2588">
        <w:rPr>
          <w:rFonts w:cs="B Nazanin"/>
          <w:rtl/>
          <w:lang w:bidi="fa-IR"/>
        </w:rPr>
        <w:instrText>":"</w:instrText>
      </w:r>
      <w:r w:rsidR="00DD2588">
        <w:rPr>
          <w:rFonts w:cs="B Nazanin" w:hint="cs"/>
          <w:rtl/>
          <w:lang w:bidi="fa-IR"/>
        </w:rPr>
        <w:instrText>حقوق</w:instrText>
      </w:r>
      <w:r w:rsidR="00DD2588">
        <w:rPr>
          <w:rFonts w:cs="B Nazanin"/>
          <w:rtl/>
          <w:lang w:bidi="fa-IR"/>
        </w:rPr>
        <w:instrText xml:space="preserve"> </w:instrText>
      </w:r>
      <w:r w:rsidR="00DD2588">
        <w:rPr>
          <w:rFonts w:cs="B Nazanin" w:hint="cs"/>
          <w:rtl/>
          <w:lang w:bidi="fa-IR"/>
        </w:rPr>
        <w:instrText>کیفری</w:instrText>
      </w:r>
      <w:r w:rsidR="00DD2588">
        <w:rPr>
          <w:rFonts w:cs="B Nazanin"/>
          <w:rtl/>
          <w:lang w:bidi="fa-IR"/>
        </w:rPr>
        <w:instrText xml:space="preserve"> </w:instrText>
      </w:r>
      <w:r w:rsidR="00DD2588">
        <w:rPr>
          <w:rFonts w:cs="B Nazanin" w:hint="cs"/>
          <w:rtl/>
          <w:lang w:bidi="fa-IR"/>
        </w:rPr>
        <w:instrText>و</w:instrText>
      </w:r>
      <w:r w:rsidR="00DD2588">
        <w:rPr>
          <w:rFonts w:cs="B Nazanin"/>
          <w:rtl/>
          <w:lang w:bidi="fa-IR"/>
        </w:rPr>
        <w:instrText xml:space="preserve"> </w:instrText>
      </w:r>
      <w:r w:rsidR="00DD2588">
        <w:rPr>
          <w:rFonts w:cs="B Nazanin" w:hint="cs"/>
          <w:rtl/>
          <w:lang w:bidi="fa-IR"/>
        </w:rPr>
        <w:instrText>تخلفات</w:instrText>
      </w:r>
      <w:r w:rsidR="00DD2588">
        <w:rPr>
          <w:rFonts w:cs="B Nazanin"/>
          <w:rtl/>
          <w:lang w:bidi="fa-IR"/>
        </w:rPr>
        <w:instrText xml:space="preserve"> </w:instrText>
      </w:r>
      <w:r w:rsidR="00DD2588">
        <w:rPr>
          <w:rFonts w:cs="B Nazanin" w:hint="cs"/>
          <w:rtl/>
          <w:lang w:bidi="fa-IR"/>
        </w:rPr>
        <w:instrText>پزشکی</w:instrText>
      </w:r>
      <w:r w:rsidR="00DD2588">
        <w:rPr>
          <w:rFonts w:cs="B Nazanin"/>
          <w:rtl/>
          <w:lang w:bidi="fa-IR"/>
        </w:rPr>
        <w:instrText>","</w:instrText>
      </w:r>
      <w:r w:rsidR="00DD2588">
        <w:rPr>
          <w:rFonts w:cs="B Nazanin"/>
          <w:lang w:bidi="fa-IR"/>
        </w:rPr>
        <w:instrText>type":"book"},"uris":["http://www.mendeley.com/documents/?uuid=f2789279-7ba5-43a6-bd6a-033535d5eecc"]}],"mendeley":{"formattedCitation</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plainTextFormattedCitation</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previouslyFormattedCitation</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properties":{"noteIndex":0},"schema":"https://github.com/citation-style-language/schema/raw/master/csl-citation.json</w:instrText>
      </w:r>
      <w:r w:rsidR="00DD2588">
        <w:rPr>
          <w:rFonts w:cs="B Nazanin"/>
          <w:rtl/>
          <w:lang w:bidi="fa-IR"/>
        </w:rPr>
        <w:instrText>"}</w:instrText>
      </w:r>
      <w:r w:rsidR="00434BE4">
        <w:rPr>
          <w:rFonts w:cs="B Nazanin"/>
          <w:rtl/>
          <w:lang w:bidi="fa-IR"/>
        </w:rPr>
        <w:fldChar w:fldCharType="separate"/>
      </w:r>
      <w:r w:rsidR="00434BE4" w:rsidRPr="00434BE4">
        <w:rPr>
          <w:rFonts w:cs="B Nazanin"/>
          <w:noProof/>
          <w:rtl/>
          <w:lang w:bidi="fa-IR"/>
        </w:rPr>
        <w:t>(</w:t>
      </w:r>
      <w:r w:rsidR="00434BE4" w:rsidRPr="00434BE4">
        <w:rPr>
          <w:rFonts w:cs="B Nazanin" w:hint="cs"/>
          <w:noProof/>
          <w:rtl/>
          <w:lang w:bidi="fa-IR"/>
        </w:rPr>
        <w:t>منش</w:t>
      </w:r>
      <w:r w:rsidR="00434BE4" w:rsidRPr="00434BE4">
        <w:rPr>
          <w:rFonts w:cs="B Nazanin"/>
          <w:noProof/>
          <w:rtl/>
          <w:lang w:bidi="fa-IR"/>
        </w:rPr>
        <w:t>, 1398)</w:t>
      </w:r>
      <w:r w:rsidR="00434BE4">
        <w:rPr>
          <w:rFonts w:cs="B Nazanin"/>
          <w:rtl/>
          <w:lang w:bidi="fa-IR"/>
        </w:rPr>
        <w:fldChar w:fldCharType="end"/>
      </w:r>
    </w:p>
    <w:p w14:paraId="1DAA8FFE" w14:textId="0BC4DE57" w:rsidR="00E32230" w:rsidRDefault="00E32230" w:rsidP="00084FC0">
      <w:pPr>
        <w:bidi/>
        <w:spacing w:after="0" w:line="240" w:lineRule="auto"/>
        <w:jc w:val="lowKashida"/>
        <w:outlineLvl w:val="0"/>
        <w:rPr>
          <w:rFonts w:cs="B Nazanin"/>
          <w:rtl/>
          <w:lang w:bidi="fa-IR"/>
        </w:rPr>
      </w:pPr>
    </w:p>
    <w:p w14:paraId="6CE4571A" w14:textId="5EC9EF2B" w:rsidR="00E32230" w:rsidRDefault="00E32230" w:rsidP="001D0E59">
      <w:pPr>
        <w:bidi/>
        <w:spacing w:after="0" w:line="240" w:lineRule="auto"/>
        <w:jc w:val="lowKashida"/>
        <w:outlineLvl w:val="0"/>
        <w:rPr>
          <w:rFonts w:cs="B Nazanin"/>
          <w:b/>
          <w:bCs/>
          <w:rtl/>
          <w:lang w:bidi="fa-IR"/>
        </w:rPr>
      </w:pPr>
      <w:r w:rsidRPr="00E32230">
        <w:rPr>
          <w:rFonts w:cs="B Nazanin" w:hint="cs"/>
          <w:b/>
          <w:bCs/>
          <w:rtl/>
          <w:lang w:bidi="fa-IR"/>
        </w:rPr>
        <w:t>3-3رابطه سببیت(علیّت)</w:t>
      </w:r>
    </w:p>
    <w:p w14:paraId="22FA32C1" w14:textId="6896D866" w:rsidR="00E32230" w:rsidRDefault="00E32230" w:rsidP="00434BE4">
      <w:pPr>
        <w:bidi/>
        <w:spacing w:after="0" w:line="240" w:lineRule="auto"/>
        <w:jc w:val="lowKashida"/>
        <w:outlineLvl w:val="0"/>
        <w:rPr>
          <w:rFonts w:cs="B Nazanin"/>
          <w:sz w:val="32"/>
          <w:szCs w:val="32"/>
          <w:rtl/>
          <w:lang w:bidi="fa-IR"/>
        </w:rPr>
      </w:pPr>
      <w:r>
        <w:rPr>
          <w:rFonts w:cs="B Nazanin" w:hint="cs"/>
          <w:rtl/>
          <w:lang w:bidi="fa-IR"/>
        </w:rPr>
        <w:t xml:space="preserve">آخرین رکن موجد مسئولیت کیفری پزشکان، رابطه علیّت بین فعل ارتکابی و ورود ضرر و یا آسیب به بیمار است. در واقع می بایست ورود ضرر و فعل ارتکابی را به پزشک مسئول متصل کرد احراز این رابطه با دادگاه است. اما نکته ای که باید همواره در بحث مسئولیت پزشکان به خاطر آوریم اخذ رضایت و برائت در درمان است. در این خصوص بند ج ماده 158 قانون مجازات اسلامی بیان </w:t>
      </w:r>
      <w:r>
        <w:rPr>
          <w:rFonts w:cs="B Nazanin" w:hint="cs"/>
          <w:rtl/>
          <w:lang w:bidi="fa-IR"/>
        </w:rPr>
        <w:lastRenderedPageBreak/>
        <w:t>می دارد که[... ارتکاب رفتاری که طبق قانون جرم محسوب می شود در موارد زیر قابل مجازات نیست: هر نوع عمل جراحی یا طبی مشروعی که با رضایت شخص یا اولیاء یا سرپرستان یا نمایندگان قانونی وی و رعایت موازین فنی و علمی و نظامات دولتی انجام شود. در موارد فوری اخذ رضایت ضروری نیست]. با دقت در این ماده می توان دریافت که برای اینکه عمل ارتکابی پزشک عنوان مجرمانه به خود نگیرد، می بایستی جمع یک سری از شرایط موجود باشد:1-عمل درمانی مشروع باشد. به طور مثال در سقط جنین جنایی</w:t>
      </w:r>
      <w:r w:rsidR="008B168E">
        <w:rPr>
          <w:rFonts w:cs="B Nazanin" w:hint="cs"/>
          <w:rtl/>
          <w:lang w:bidi="fa-IR"/>
        </w:rPr>
        <w:t>، پزشک در هر صورت مسئول خواهد بود و عمل ارتکابی وی جرم است. 2-رضایت آگاهانه از بیمار و همراهانش اخذ شود به نحوی که شخص رضایت دهنده دارای اهلیت باشد. 3- موازین علمی و فنی که همان تخصص حرفه ای پزشک است و نظامات دولتی که قوانین و آیین نامه ها و دستورالعمل های موضوعه می باشد را رعایت کند.</w:t>
      </w:r>
      <w:r w:rsidR="00DD2588">
        <w:rPr>
          <w:rFonts w:cs="B Nazanin"/>
          <w:rtl/>
          <w:lang w:bidi="fa-IR"/>
        </w:rPr>
        <w:fldChar w:fldCharType="begin" w:fldLock="1"/>
      </w:r>
      <w:r w:rsidR="00DD2588">
        <w:rPr>
          <w:rFonts w:cs="B Nazanin"/>
          <w:lang w:bidi="fa-IR"/>
        </w:rPr>
        <w:instrText>ADDIN CSL_CITATION {"citationItems":[{"id":"ITEM-1","itemData":{"author":[{"dropping-particle":"","family</w:instrText>
      </w:r>
      <w:r w:rsidR="00DD2588">
        <w:rPr>
          <w:rFonts w:cs="B Nazanin"/>
          <w:rtl/>
          <w:lang w:bidi="fa-IR"/>
        </w:rPr>
        <w:instrText>":"</w:instrText>
      </w:r>
      <w:r w:rsidR="00DD2588">
        <w:rPr>
          <w:rFonts w:cs="B Nazanin" w:hint="cs"/>
          <w:rtl/>
          <w:lang w:bidi="fa-IR"/>
        </w:rPr>
        <w:instrText>منش</w:instrText>
      </w:r>
      <w:r w:rsidR="00DD2588">
        <w:rPr>
          <w:rFonts w:cs="B Nazanin"/>
          <w:rtl/>
          <w:lang w:bidi="fa-IR"/>
        </w:rPr>
        <w:instrText>","</w:instrText>
      </w:r>
      <w:r w:rsidR="00DD2588">
        <w:rPr>
          <w:rFonts w:cs="B Nazanin"/>
          <w:lang w:bidi="fa-IR"/>
        </w:rPr>
        <w:instrText>given</w:instrText>
      </w:r>
      <w:r w:rsidR="00DD2588">
        <w:rPr>
          <w:rFonts w:cs="B Nazanin"/>
          <w:rtl/>
          <w:lang w:bidi="fa-IR"/>
        </w:rPr>
        <w:instrText>":"</w:instrText>
      </w:r>
      <w:r w:rsidR="00DD2588">
        <w:rPr>
          <w:rFonts w:cs="B Nazanin" w:hint="cs"/>
          <w:rtl/>
          <w:lang w:bidi="fa-IR"/>
        </w:rPr>
        <w:instrText>دکتر</w:instrText>
      </w:r>
      <w:r w:rsidR="00DD2588">
        <w:rPr>
          <w:rFonts w:cs="B Nazanin"/>
          <w:rtl/>
          <w:lang w:bidi="fa-IR"/>
        </w:rPr>
        <w:instrText xml:space="preserve"> </w:instrText>
      </w:r>
      <w:r w:rsidR="00DD2588">
        <w:rPr>
          <w:rFonts w:cs="B Nazanin" w:hint="cs"/>
          <w:rtl/>
          <w:lang w:bidi="fa-IR"/>
        </w:rPr>
        <w:instrText>محمد</w:instrText>
      </w:r>
      <w:r w:rsidR="00DD2588">
        <w:rPr>
          <w:rFonts w:cs="B Nazanin"/>
          <w:rtl/>
          <w:lang w:bidi="fa-IR"/>
        </w:rPr>
        <w:instrText xml:space="preserve"> </w:instrText>
      </w:r>
      <w:r w:rsidR="00DD2588">
        <w:rPr>
          <w:rFonts w:cs="B Nazanin" w:hint="cs"/>
          <w:rtl/>
          <w:lang w:bidi="fa-IR"/>
        </w:rPr>
        <w:instrText>رضا</w:instrText>
      </w:r>
      <w:r w:rsidR="00DD2588">
        <w:rPr>
          <w:rFonts w:cs="B Nazanin"/>
          <w:rtl/>
          <w:lang w:bidi="fa-IR"/>
        </w:rPr>
        <w:instrText xml:space="preserve"> </w:instrText>
      </w:r>
      <w:r w:rsidR="00DD2588">
        <w:rPr>
          <w:rFonts w:cs="B Nazanin" w:hint="cs"/>
          <w:rtl/>
          <w:lang w:bidi="fa-IR"/>
        </w:rPr>
        <w:instrText>الهی</w:instrText>
      </w:r>
      <w:r w:rsidR="00DD2588">
        <w:rPr>
          <w:rFonts w:cs="B Nazanin"/>
          <w:rtl/>
          <w:lang w:bidi="fa-IR"/>
        </w:rPr>
        <w:instrText>","</w:instrText>
      </w:r>
      <w:r w:rsidR="00DD2588">
        <w:rPr>
          <w:rFonts w:cs="B Nazanin"/>
          <w:lang w:bidi="fa-IR"/>
        </w:rPr>
        <w:instrText>non-dropping-particle":"","parse-names":false,"suffix":""}],"edition":"6","id":"ITEM-1","issued":{"date-parts</w:instrText>
      </w:r>
      <w:r w:rsidR="00DD2588">
        <w:rPr>
          <w:rFonts w:cs="B Nazanin"/>
          <w:rtl/>
          <w:lang w:bidi="fa-IR"/>
        </w:rPr>
        <w:instrText>":[["1398"]]},"</w:instrText>
      </w:r>
      <w:r w:rsidR="00DD2588">
        <w:rPr>
          <w:rFonts w:cs="B Nazanin"/>
          <w:lang w:bidi="fa-IR"/>
        </w:rPr>
        <w:instrText>title</w:instrText>
      </w:r>
      <w:r w:rsidR="00DD2588">
        <w:rPr>
          <w:rFonts w:cs="B Nazanin"/>
          <w:rtl/>
          <w:lang w:bidi="fa-IR"/>
        </w:rPr>
        <w:instrText>":"</w:instrText>
      </w:r>
      <w:r w:rsidR="00DD2588">
        <w:rPr>
          <w:rFonts w:cs="B Nazanin" w:hint="cs"/>
          <w:rtl/>
          <w:lang w:bidi="fa-IR"/>
        </w:rPr>
        <w:instrText>حقوق</w:instrText>
      </w:r>
      <w:r w:rsidR="00DD2588">
        <w:rPr>
          <w:rFonts w:cs="B Nazanin"/>
          <w:rtl/>
          <w:lang w:bidi="fa-IR"/>
        </w:rPr>
        <w:instrText xml:space="preserve"> </w:instrText>
      </w:r>
      <w:r w:rsidR="00DD2588">
        <w:rPr>
          <w:rFonts w:cs="B Nazanin" w:hint="cs"/>
          <w:rtl/>
          <w:lang w:bidi="fa-IR"/>
        </w:rPr>
        <w:instrText>کیفری</w:instrText>
      </w:r>
      <w:r w:rsidR="00DD2588">
        <w:rPr>
          <w:rFonts w:cs="B Nazanin"/>
          <w:rtl/>
          <w:lang w:bidi="fa-IR"/>
        </w:rPr>
        <w:instrText xml:space="preserve"> </w:instrText>
      </w:r>
      <w:r w:rsidR="00DD2588">
        <w:rPr>
          <w:rFonts w:cs="B Nazanin" w:hint="cs"/>
          <w:rtl/>
          <w:lang w:bidi="fa-IR"/>
        </w:rPr>
        <w:instrText>و</w:instrText>
      </w:r>
      <w:r w:rsidR="00DD2588">
        <w:rPr>
          <w:rFonts w:cs="B Nazanin"/>
          <w:rtl/>
          <w:lang w:bidi="fa-IR"/>
        </w:rPr>
        <w:instrText xml:space="preserve"> </w:instrText>
      </w:r>
      <w:r w:rsidR="00DD2588">
        <w:rPr>
          <w:rFonts w:cs="B Nazanin" w:hint="cs"/>
          <w:rtl/>
          <w:lang w:bidi="fa-IR"/>
        </w:rPr>
        <w:instrText>تخلفات</w:instrText>
      </w:r>
      <w:r w:rsidR="00DD2588">
        <w:rPr>
          <w:rFonts w:cs="B Nazanin"/>
          <w:rtl/>
          <w:lang w:bidi="fa-IR"/>
        </w:rPr>
        <w:instrText xml:space="preserve"> </w:instrText>
      </w:r>
      <w:r w:rsidR="00DD2588">
        <w:rPr>
          <w:rFonts w:cs="B Nazanin" w:hint="cs"/>
          <w:rtl/>
          <w:lang w:bidi="fa-IR"/>
        </w:rPr>
        <w:instrText>پزشکی</w:instrText>
      </w:r>
      <w:r w:rsidR="00DD2588">
        <w:rPr>
          <w:rFonts w:cs="B Nazanin"/>
          <w:rtl/>
          <w:lang w:bidi="fa-IR"/>
        </w:rPr>
        <w:instrText>","</w:instrText>
      </w:r>
      <w:r w:rsidR="00DD2588">
        <w:rPr>
          <w:rFonts w:cs="B Nazanin"/>
          <w:lang w:bidi="fa-IR"/>
        </w:rPr>
        <w:instrText>type":"book"},"uris":["http://www.mendeley.com/documents/?uuid=f2789279-7ba5-43a6-bd6a-033535d5eecc"]},{"id":"ITEM-2","itemData":{"author":[{"dropping-particle":"","family</w:instrText>
      </w:r>
      <w:r w:rsidR="00DD2588">
        <w:rPr>
          <w:rFonts w:cs="B Nazanin"/>
          <w:rtl/>
          <w:lang w:bidi="fa-IR"/>
        </w:rPr>
        <w:instrText>":"</w:instrText>
      </w:r>
      <w:r w:rsidR="00DD2588">
        <w:rPr>
          <w:rFonts w:cs="B Nazanin" w:hint="cs"/>
          <w:rtl/>
          <w:lang w:bidi="fa-IR"/>
        </w:rPr>
        <w:instrText>افراسیاب</w:instrText>
      </w:r>
      <w:r w:rsidR="00DD2588">
        <w:rPr>
          <w:rFonts w:cs="B Nazanin"/>
          <w:rtl/>
          <w:lang w:bidi="fa-IR"/>
        </w:rPr>
        <w:instrText>","</w:instrText>
      </w:r>
      <w:r w:rsidR="00DD2588">
        <w:rPr>
          <w:rFonts w:cs="B Nazanin"/>
          <w:lang w:bidi="fa-IR"/>
        </w:rPr>
        <w:instrText>given</w:instrText>
      </w:r>
      <w:r w:rsidR="00DD2588">
        <w:rPr>
          <w:rFonts w:cs="B Nazanin"/>
          <w:rtl/>
          <w:lang w:bidi="fa-IR"/>
        </w:rPr>
        <w:instrText>":"</w:instrText>
      </w:r>
      <w:r w:rsidR="00DD2588">
        <w:rPr>
          <w:rFonts w:cs="B Nazanin" w:hint="cs"/>
          <w:rtl/>
          <w:lang w:bidi="fa-IR"/>
        </w:rPr>
        <w:instrText>محبوب</w:instrText>
      </w:r>
      <w:r w:rsidR="00DD2588">
        <w:rPr>
          <w:rFonts w:cs="B Nazanin"/>
          <w:rtl/>
          <w:lang w:bidi="fa-IR"/>
        </w:rPr>
        <w:instrText>","</w:instrText>
      </w:r>
      <w:r w:rsidR="00DD2588">
        <w:rPr>
          <w:rFonts w:cs="B Nazanin"/>
          <w:lang w:bidi="fa-IR"/>
        </w:rPr>
        <w:instrText>non-dropping-particle":"","parse-names":false,"suffix":""}],"edition":"6","id":"ITEM-2","issued":{"date-parts":[["1402"]]},"title</w:instrText>
      </w:r>
      <w:r w:rsidR="00DD2588">
        <w:rPr>
          <w:rFonts w:cs="B Nazanin"/>
          <w:rtl/>
          <w:lang w:bidi="fa-IR"/>
        </w:rPr>
        <w:instrText>":"</w:instrText>
      </w:r>
      <w:r w:rsidR="00DD2588">
        <w:rPr>
          <w:rFonts w:cs="B Nazanin" w:hint="cs"/>
          <w:rtl/>
          <w:lang w:bidi="fa-IR"/>
        </w:rPr>
        <w:instrText>جرايم</w:instrText>
      </w:r>
      <w:r w:rsidR="00DD2588">
        <w:rPr>
          <w:rFonts w:cs="B Nazanin"/>
          <w:rtl/>
          <w:lang w:bidi="fa-IR"/>
        </w:rPr>
        <w:instrText xml:space="preserve"> </w:instrText>
      </w:r>
      <w:r w:rsidR="00DD2588">
        <w:rPr>
          <w:rFonts w:cs="B Nazanin" w:hint="cs"/>
          <w:rtl/>
          <w:lang w:bidi="fa-IR"/>
        </w:rPr>
        <w:instrText>پزشکی</w:instrText>
      </w:r>
      <w:r w:rsidR="00DD2588">
        <w:rPr>
          <w:rFonts w:cs="B Nazanin"/>
          <w:rtl/>
          <w:lang w:bidi="fa-IR"/>
        </w:rPr>
        <w:instrText xml:space="preserve"> , </w:instrText>
      </w:r>
      <w:r w:rsidR="00DD2588">
        <w:rPr>
          <w:rFonts w:cs="B Nazanin" w:hint="cs"/>
          <w:rtl/>
          <w:lang w:bidi="fa-IR"/>
        </w:rPr>
        <w:instrText>دارویی</w:instrText>
      </w:r>
      <w:r w:rsidR="00DD2588">
        <w:rPr>
          <w:rFonts w:cs="B Nazanin"/>
          <w:rtl/>
          <w:lang w:bidi="fa-IR"/>
        </w:rPr>
        <w:instrText xml:space="preserve"> </w:instrText>
      </w:r>
      <w:r w:rsidR="00DD2588">
        <w:rPr>
          <w:rFonts w:cs="B Nazanin" w:hint="cs"/>
          <w:rtl/>
          <w:lang w:bidi="fa-IR"/>
        </w:rPr>
        <w:instrText>و</w:instrText>
      </w:r>
      <w:r w:rsidR="00DD2588">
        <w:rPr>
          <w:rFonts w:cs="B Nazanin"/>
          <w:rtl/>
          <w:lang w:bidi="fa-IR"/>
        </w:rPr>
        <w:instrText xml:space="preserve"> </w:instrText>
      </w:r>
      <w:r w:rsidR="00DD2588">
        <w:rPr>
          <w:rFonts w:cs="B Nazanin" w:hint="cs"/>
          <w:rtl/>
          <w:lang w:bidi="fa-IR"/>
        </w:rPr>
        <w:instrText>غذایی</w:instrText>
      </w:r>
      <w:r w:rsidR="00DD2588">
        <w:rPr>
          <w:rFonts w:cs="B Nazanin"/>
          <w:rtl/>
          <w:lang w:bidi="fa-IR"/>
        </w:rPr>
        <w:instrText>","</w:instrText>
      </w:r>
      <w:r w:rsidR="00DD2588">
        <w:rPr>
          <w:rFonts w:cs="B Nazanin"/>
          <w:lang w:bidi="fa-IR"/>
        </w:rPr>
        <w:instrText>type":"book"},"uris":["http://www.mendeley.com/documents/?uuid=1666c3be-7cab-4f07-8596-3988eb56f04</w:instrText>
      </w:r>
      <w:r w:rsidR="00DD2588">
        <w:rPr>
          <w:rFonts w:cs="B Nazanin"/>
          <w:rtl/>
          <w:lang w:bidi="fa-IR"/>
        </w:rPr>
        <w:instrText>8"]}],"</w:instrText>
      </w:r>
      <w:r w:rsidR="00DD2588">
        <w:rPr>
          <w:rFonts w:cs="B Nazanin"/>
          <w:lang w:bidi="fa-IR"/>
        </w:rPr>
        <w:instrText>mendeley":{"formattedCitation</w:instrText>
      </w:r>
      <w:r w:rsidR="00DD2588">
        <w:rPr>
          <w:rFonts w:cs="B Nazanin"/>
          <w:rtl/>
          <w:lang w:bidi="fa-IR"/>
        </w:rPr>
        <w:instrText>":"(</w:instrText>
      </w:r>
      <w:r w:rsidR="00DD2588">
        <w:rPr>
          <w:rFonts w:cs="B Nazanin" w:hint="cs"/>
          <w:rtl/>
          <w:lang w:bidi="fa-IR"/>
        </w:rPr>
        <w:instrText>افراسیاب</w:instrText>
      </w:r>
      <w:r w:rsidR="00DD2588">
        <w:rPr>
          <w:rFonts w:cs="B Nazanin"/>
          <w:rtl/>
          <w:lang w:bidi="fa-IR"/>
        </w:rPr>
        <w:instrText xml:space="preserve">, 1402;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plainTextFormattedCitation</w:instrText>
      </w:r>
      <w:r w:rsidR="00DD2588">
        <w:rPr>
          <w:rFonts w:cs="B Nazanin"/>
          <w:rtl/>
          <w:lang w:bidi="fa-IR"/>
        </w:rPr>
        <w:instrText>":"(</w:instrText>
      </w:r>
      <w:r w:rsidR="00DD2588">
        <w:rPr>
          <w:rFonts w:cs="B Nazanin" w:hint="cs"/>
          <w:rtl/>
          <w:lang w:bidi="fa-IR"/>
        </w:rPr>
        <w:instrText>افراسیاب</w:instrText>
      </w:r>
      <w:r w:rsidR="00DD2588">
        <w:rPr>
          <w:rFonts w:cs="B Nazanin"/>
          <w:rtl/>
          <w:lang w:bidi="fa-IR"/>
        </w:rPr>
        <w:instrText xml:space="preserve">, 1402;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previouslyFormattedCitation</w:instrText>
      </w:r>
      <w:r w:rsidR="00DD2588">
        <w:rPr>
          <w:rFonts w:cs="B Nazanin"/>
          <w:rtl/>
          <w:lang w:bidi="fa-IR"/>
        </w:rPr>
        <w:instrText>":"(</w:instrText>
      </w:r>
      <w:r w:rsidR="00DD2588">
        <w:rPr>
          <w:rFonts w:cs="B Nazanin" w:hint="cs"/>
          <w:rtl/>
          <w:lang w:bidi="fa-IR"/>
        </w:rPr>
        <w:instrText>افراسیاب</w:instrText>
      </w:r>
      <w:r w:rsidR="00DD2588">
        <w:rPr>
          <w:rFonts w:cs="B Nazanin"/>
          <w:rtl/>
          <w:lang w:bidi="fa-IR"/>
        </w:rPr>
        <w:instrText xml:space="preserve">, 1402; </w:instrText>
      </w:r>
      <w:r w:rsidR="00DD2588">
        <w:rPr>
          <w:rFonts w:cs="B Nazanin" w:hint="cs"/>
          <w:rtl/>
          <w:lang w:bidi="fa-IR"/>
        </w:rPr>
        <w:instrText>منش</w:instrText>
      </w:r>
      <w:r w:rsidR="00DD2588">
        <w:rPr>
          <w:rFonts w:cs="B Nazanin"/>
          <w:rtl/>
          <w:lang w:bidi="fa-IR"/>
        </w:rPr>
        <w:instrText>, 1398)"},"</w:instrText>
      </w:r>
      <w:r w:rsidR="00DD2588">
        <w:rPr>
          <w:rFonts w:cs="B Nazanin"/>
          <w:lang w:bidi="fa-IR"/>
        </w:rPr>
        <w:instrText>properties":{"noteIndex":0},"schema":"https://github.com/citation</w:instrText>
      </w:r>
      <w:r w:rsidR="00DD2588">
        <w:rPr>
          <w:rFonts w:cs="B Nazanin"/>
          <w:rtl/>
          <w:lang w:bidi="fa-IR"/>
        </w:rPr>
        <w:instrText>-</w:instrText>
      </w:r>
      <w:r w:rsidR="00DD2588">
        <w:rPr>
          <w:rFonts w:cs="B Nazanin"/>
          <w:lang w:bidi="fa-IR"/>
        </w:rPr>
        <w:instrText>style-language/schema/raw/master/csl-citation.json</w:instrText>
      </w:r>
      <w:r w:rsidR="00DD2588">
        <w:rPr>
          <w:rFonts w:cs="B Nazanin"/>
          <w:rtl/>
          <w:lang w:bidi="fa-IR"/>
        </w:rPr>
        <w:instrText>"}</w:instrText>
      </w:r>
      <w:r w:rsidR="00DD2588">
        <w:rPr>
          <w:rFonts w:cs="B Nazanin"/>
          <w:rtl/>
          <w:lang w:bidi="fa-IR"/>
        </w:rPr>
        <w:fldChar w:fldCharType="separate"/>
      </w:r>
      <w:r w:rsidR="00DD2588" w:rsidRPr="00DD2588">
        <w:rPr>
          <w:rFonts w:cs="B Nazanin"/>
          <w:noProof/>
          <w:rtl/>
          <w:lang w:bidi="fa-IR"/>
        </w:rPr>
        <w:t>(</w:t>
      </w:r>
      <w:r w:rsidR="00DD2588" w:rsidRPr="00DD2588">
        <w:rPr>
          <w:rFonts w:cs="B Nazanin" w:hint="cs"/>
          <w:noProof/>
          <w:rtl/>
          <w:lang w:bidi="fa-IR"/>
        </w:rPr>
        <w:t>افراسیاب</w:t>
      </w:r>
      <w:r w:rsidR="00DD2588" w:rsidRPr="00DD2588">
        <w:rPr>
          <w:rFonts w:cs="B Nazanin"/>
          <w:noProof/>
          <w:rtl/>
          <w:lang w:bidi="fa-IR"/>
        </w:rPr>
        <w:t xml:space="preserve">, 1402; </w:t>
      </w:r>
      <w:r w:rsidR="00DD2588" w:rsidRPr="00DD2588">
        <w:rPr>
          <w:rFonts w:cs="B Nazanin" w:hint="cs"/>
          <w:noProof/>
          <w:rtl/>
          <w:lang w:bidi="fa-IR"/>
        </w:rPr>
        <w:t>منش</w:t>
      </w:r>
      <w:r w:rsidR="00DD2588" w:rsidRPr="00DD2588">
        <w:rPr>
          <w:rFonts w:cs="B Nazanin"/>
          <w:noProof/>
          <w:rtl/>
          <w:lang w:bidi="fa-IR"/>
        </w:rPr>
        <w:t>, 1398)</w:t>
      </w:r>
      <w:r w:rsidR="00DD2588">
        <w:rPr>
          <w:rFonts w:cs="B Nazanin"/>
          <w:rtl/>
          <w:lang w:bidi="fa-IR"/>
        </w:rPr>
        <w:fldChar w:fldCharType="end"/>
      </w:r>
      <w:r w:rsidR="00DD2588">
        <w:rPr>
          <w:rFonts w:cs="B Nazanin" w:hint="cs"/>
          <w:sz w:val="32"/>
          <w:szCs w:val="32"/>
          <w:rtl/>
          <w:lang w:bidi="fa-IR"/>
        </w:rPr>
        <w:t xml:space="preserve"> </w:t>
      </w:r>
    </w:p>
    <w:p w14:paraId="340DD887" w14:textId="77777777" w:rsidR="008B168E" w:rsidRDefault="008B168E" w:rsidP="001D0E59">
      <w:pPr>
        <w:bidi/>
        <w:spacing w:after="0" w:line="240" w:lineRule="auto"/>
        <w:jc w:val="lowKashida"/>
        <w:outlineLvl w:val="0"/>
        <w:rPr>
          <w:rFonts w:cs="B Nazanin"/>
          <w:sz w:val="32"/>
          <w:szCs w:val="32"/>
          <w:rtl/>
          <w:lang w:bidi="fa-IR"/>
        </w:rPr>
      </w:pPr>
    </w:p>
    <w:p w14:paraId="1FAF5E32" w14:textId="67E6814E" w:rsidR="008B168E" w:rsidRDefault="008B168E" w:rsidP="001D0E59">
      <w:pPr>
        <w:bidi/>
        <w:spacing w:after="0" w:line="240" w:lineRule="auto"/>
        <w:jc w:val="lowKashida"/>
        <w:outlineLvl w:val="0"/>
        <w:rPr>
          <w:rFonts w:cs="B Nazanin"/>
          <w:b/>
          <w:bCs/>
          <w:rtl/>
          <w:lang w:bidi="fa-IR"/>
        </w:rPr>
      </w:pPr>
      <w:r w:rsidRPr="008B168E">
        <w:rPr>
          <w:rFonts w:cs="B Nazanin" w:hint="cs"/>
          <w:b/>
          <w:bCs/>
          <w:rtl/>
          <w:lang w:bidi="fa-IR"/>
        </w:rPr>
        <w:t>4-مسئولیت حقوقی</w:t>
      </w:r>
    </w:p>
    <w:p w14:paraId="4442E71A" w14:textId="602219FB" w:rsidR="00882F39" w:rsidRDefault="008B168E" w:rsidP="001D0E59">
      <w:pPr>
        <w:bidi/>
        <w:spacing w:after="0" w:line="240" w:lineRule="auto"/>
        <w:jc w:val="lowKashida"/>
        <w:outlineLvl w:val="0"/>
        <w:rPr>
          <w:rFonts w:cs="B Nazanin"/>
          <w:sz w:val="32"/>
          <w:szCs w:val="32"/>
          <w:rtl/>
          <w:lang w:bidi="fa-IR"/>
        </w:rPr>
      </w:pPr>
      <w:r>
        <w:rPr>
          <w:rFonts w:cs="B Nazanin" w:hint="cs"/>
          <w:rtl/>
          <w:lang w:bidi="fa-IR"/>
        </w:rPr>
        <w:t xml:space="preserve">فلسفه مسئولیت مدنی علاوه بر جبران خسارت، اعاده وضع به سابق است. همانطور که می دانیم بر اساس ماده 953 قانون مدنی تقصیر یعنی تعدی و تفریط. در حقوق رومی ژرمنی و کامن لا تسبیب شرط مسئولیت مدنی است. باید در نظر داشته باشیم که تقصیر وسیله است و روش کشف آن رابطه سببیت خواهد بود. در این امر که وجود تقصیر و رابطه سببیت هردو لازم باشد، اختلاف نظری میان نظام های حقوقی وجود دارد. در نظام رومی ژرمنی اینگونه قلمداد می شود که هر دو امر برای تحقق مسئولیت نیاز هستند اما </w:t>
      </w:r>
      <w:r w:rsidR="001B11C8">
        <w:rPr>
          <w:rFonts w:cs="B Nazanin" w:hint="cs"/>
          <w:rtl/>
          <w:lang w:bidi="fa-IR"/>
        </w:rPr>
        <w:t xml:space="preserve">تجربه قانونگذاری نشان داده گاهی این امر دچار استثناء می شود، مانند زمانی که پزشک تمامی تلاش خود را برای بهبود بیمار انجام داده و تمام موازین علمی و فنی را رعایت کرده اما بیمار دچار آسیب می شود. برای مثال ملموس تر می توان به عوارض غیر قابل پیش بینی در تجویز دارو اشاره کرد. در مورد داروی فلوکستین با توجه به تحقیقات به عمل آمده، این دسته از عوارض بعید به نظر می رسد اما باید این نکته را ذکر کرد که فقط تقصیر در رابطه با مسئولیت مدنی تأثیری ندارد، زیرا در قاعده فقهی اتلاف می گنجد. هرچند بهتر است به خاطر کاهش خطرپذیری پزشک از اینگونه تفصیر خودداری کرد. </w:t>
      </w:r>
      <w:r w:rsidR="00B82C27">
        <w:rPr>
          <w:rFonts w:cs="B Nazanin"/>
          <w:rtl/>
          <w:lang w:bidi="fa-IR"/>
        </w:rPr>
        <w:fldChar w:fldCharType="begin" w:fldLock="1"/>
      </w:r>
      <w:r w:rsidR="005364C2">
        <w:rPr>
          <w:rFonts w:cs="B Nazanin"/>
          <w:lang w:bidi="fa-IR"/>
        </w:rPr>
        <w:instrText>ADDIN CSL_CITATION {"citationItems":[{"id":"ITEM-1","itemData":{"author":[{"dropping-particle":"","family</w:instrText>
      </w:r>
      <w:r w:rsidR="005364C2">
        <w:rPr>
          <w:rFonts w:cs="B Nazanin"/>
          <w:rtl/>
          <w:lang w:bidi="fa-IR"/>
        </w:rPr>
        <w:instrText>":"</w:instrText>
      </w:r>
      <w:r w:rsidR="005364C2">
        <w:rPr>
          <w:rFonts w:cs="B Nazanin" w:hint="cs"/>
          <w:rtl/>
          <w:lang w:bidi="fa-IR"/>
        </w:rPr>
        <w:instrText>داماد</w:instrText>
      </w:r>
      <w:r w:rsidR="005364C2">
        <w:rPr>
          <w:rFonts w:cs="B Nazanin"/>
          <w:rtl/>
          <w:lang w:bidi="fa-IR"/>
        </w:rPr>
        <w:instrText>","</w:instrText>
      </w:r>
      <w:r w:rsidR="005364C2">
        <w:rPr>
          <w:rFonts w:cs="B Nazanin"/>
          <w:lang w:bidi="fa-IR"/>
        </w:rPr>
        <w:instrText>given</w:instrText>
      </w:r>
      <w:r w:rsidR="005364C2">
        <w:rPr>
          <w:rFonts w:cs="B Nazanin"/>
          <w:rtl/>
          <w:lang w:bidi="fa-IR"/>
        </w:rPr>
        <w:instrText>":"</w:instrText>
      </w:r>
      <w:r w:rsidR="005364C2">
        <w:rPr>
          <w:rFonts w:cs="B Nazanin" w:hint="cs"/>
          <w:rtl/>
          <w:lang w:bidi="fa-IR"/>
        </w:rPr>
        <w:instrText>محقق</w:instrText>
      </w:r>
      <w:r w:rsidR="005364C2">
        <w:rPr>
          <w:rFonts w:cs="B Nazanin"/>
          <w:rtl/>
          <w:lang w:bidi="fa-IR"/>
        </w:rPr>
        <w:instrText>","</w:instrText>
      </w:r>
      <w:r w:rsidR="005364C2">
        <w:rPr>
          <w:rFonts w:cs="B Nazanin"/>
          <w:lang w:bidi="fa-IR"/>
        </w:rPr>
        <w:instrText>non-dropping-particle":"","parse-names":false,"suffix":""}],"edition":"35","id":"ITEM-1","issued":{"date-parts":[["1391</w:instrText>
      </w:r>
      <w:r w:rsidR="005364C2">
        <w:rPr>
          <w:rFonts w:cs="B Nazanin"/>
          <w:rtl/>
          <w:lang w:bidi="fa-IR"/>
        </w:rPr>
        <w:instrText>"]]},"</w:instrText>
      </w:r>
      <w:r w:rsidR="005364C2">
        <w:rPr>
          <w:rFonts w:cs="B Nazanin"/>
          <w:lang w:bidi="fa-IR"/>
        </w:rPr>
        <w:instrText>title</w:instrText>
      </w:r>
      <w:r w:rsidR="005364C2">
        <w:rPr>
          <w:rFonts w:cs="B Nazanin"/>
          <w:rtl/>
          <w:lang w:bidi="fa-IR"/>
        </w:rPr>
        <w:instrText>":"</w:instrText>
      </w:r>
      <w:r w:rsidR="005364C2">
        <w:rPr>
          <w:rFonts w:cs="B Nazanin" w:hint="cs"/>
          <w:rtl/>
          <w:lang w:bidi="fa-IR"/>
        </w:rPr>
        <w:instrText>قواعد</w:instrText>
      </w:r>
      <w:r w:rsidR="005364C2">
        <w:rPr>
          <w:rFonts w:cs="B Nazanin"/>
          <w:rtl/>
          <w:lang w:bidi="fa-IR"/>
        </w:rPr>
        <w:instrText xml:space="preserve"> </w:instrText>
      </w:r>
      <w:r w:rsidR="005364C2">
        <w:rPr>
          <w:rFonts w:cs="B Nazanin" w:hint="cs"/>
          <w:rtl/>
          <w:lang w:bidi="fa-IR"/>
        </w:rPr>
        <w:instrText>فقه</w:instrText>
      </w:r>
      <w:r w:rsidR="005364C2">
        <w:rPr>
          <w:rFonts w:cs="B Nazanin"/>
          <w:rtl/>
          <w:lang w:bidi="fa-IR"/>
        </w:rPr>
        <w:instrText xml:space="preserve"> </w:instrText>
      </w:r>
      <w:r w:rsidR="005364C2">
        <w:rPr>
          <w:rFonts w:cs="B Nazanin" w:hint="cs"/>
          <w:rtl/>
          <w:lang w:bidi="fa-IR"/>
        </w:rPr>
        <w:instrText>مدنی</w:instrText>
      </w:r>
      <w:r w:rsidR="005364C2">
        <w:rPr>
          <w:rFonts w:cs="B Nazanin"/>
          <w:rtl/>
          <w:lang w:bidi="fa-IR"/>
        </w:rPr>
        <w:instrText>","</w:instrText>
      </w:r>
      <w:r w:rsidR="005364C2">
        <w:rPr>
          <w:rFonts w:cs="B Nazanin"/>
          <w:lang w:bidi="fa-IR"/>
        </w:rPr>
        <w:instrText>type":"book"},"uris":["http://www.mendeley.com/documents/?uuid=9ca67b81-5226-499c-8567-5b4f2c04e04a"]}],"mendeley":{"formattedCitation</w:instrText>
      </w:r>
      <w:r w:rsidR="005364C2">
        <w:rPr>
          <w:rFonts w:cs="B Nazanin"/>
          <w:rtl/>
          <w:lang w:bidi="fa-IR"/>
        </w:rPr>
        <w:instrText>":"(</w:instrText>
      </w:r>
      <w:r w:rsidR="005364C2">
        <w:rPr>
          <w:rFonts w:cs="B Nazanin" w:hint="cs"/>
          <w:rtl/>
          <w:lang w:bidi="fa-IR"/>
        </w:rPr>
        <w:instrText>داماد</w:instrText>
      </w:r>
      <w:r w:rsidR="005364C2">
        <w:rPr>
          <w:rFonts w:cs="B Nazanin"/>
          <w:rtl/>
          <w:lang w:bidi="fa-IR"/>
        </w:rPr>
        <w:instrText>, 1391)","</w:instrText>
      </w:r>
      <w:r w:rsidR="005364C2">
        <w:rPr>
          <w:rFonts w:cs="B Nazanin"/>
          <w:lang w:bidi="fa-IR"/>
        </w:rPr>
        <w:instrText>plainTextFormattedCitation</w:instrText>
      </w:r>
      <w:r w:rsidR="005364C2">
        <w:rPr>
          <w:rFonts w:cs="B Nazanin"/>
          <w:rtl/>
          <w:lang w:bidi="fa-IR"/>
        </w:rPr>
        <w:instrText>":"(</w:instrText>
      </w:r>
      <w:r w:rsidR="005364C2">
        <w:rPr>
          <w:rFonts w:cs="B Nazanin" w:hint="cs"/>
          <w:rtl/>
          <w:lang w:bidi="fa-IR"/>
        </w:rPr>
        <w:instrText>داماد</w:instrText>
      </w:r>
      <w:r w:rsidR="005364C2">
        <w:rPr>
          <w:rFonts w:cs="B Nazanin"/>
          <w:rtl/>
          <w:lang w:bidi="fa-IR"/>
        </w:rPr>
        <w:instrText>, 1391)","</w:instrText>
      </w:r>
      <w:r w:rsidR="005364C2">
        <w:rPr>
          <w:rFonts w:cs="B Nazanin"/>
          <w:lang w:bidi="fa-IR"/>
        </w:rPr>
        <w:instrText>previouslyFormattedCitation</w:instrText>
      </w:r>
      <w:r w:rsidR="005364C2">
        <w:rPr>
          <w:rFonts w:cs="B Nazanin"/>
          <w:rtl/>
          <w:lang w:bidi="fa-IR"/>
        </w:rPr>
        <w:instrText>":"(</w:instrText>
      </w:r>
      <w:r w:rsidR="005364C2">
        <w:rPr>
          <w:rFonts w:cs="B Nazanin" w:hint="cs"/>
          <w:rtl/>
          <w:lang w:bidi="fa-IR"/>
        </w:rPr>
        <w:instrText>داماد</w:instrText>
      </w:r>
      <w:r w:rsidR="005364C2">
        <w:rPr>
          <w:rFonts w:cs="B Nazanin"/>
          <w:rtl/>
          <w:lang w:bidi="fa-IR"/>
        </w:rPr>
        <w:instrText>, 1391)"},"</w:instrText>
      </w:r>
      <w:r w:rsidR="005364C2">
        <w:rPr>
          <w:rFonts w:cs="B Nazanin"/>
          <w:lang w:bidi="fa-IR"/>
        </w:rPr>
        <w:instrText>properties":{"noteIndex":0},"schema":"https://github.com/citation-style-language/schema/raw/master/csl-citation.json</w:instrText>
      </w:r>
      <w:r w:rsidR="005364C2">
        <w:rPr>
          <w:rFonts w:cs="B Nazanin"/>
          <w:rtl/>
          <w:lang w:bidi="fa-IR"/>
        </w:rPr>
        <w:instrText>"}</w:instrText>
      </w:r>
      <w:r w:rsidR="00B82C27">
        <w:rPr>
          <w:rFonts w:cs="B Nazanin"/>
          <w:rtl/>
          <w:lang w:bidi="fa-IR"/>
        </w:rPr>
        <w:fldChar w:fldCharType="separate"/>
      </w:r>
      <w:r w:rsidR="00B82C27" w:rsidRPr="00B82C27">
        <w:rPr>
          <w:rFonts w:cs="B Nazanin"/>
          <w:noProof/>
          <w:rtl/>
          <w:lang w:bidi="fa-IR"/>
        </w:rPr>
        <w:t>(</w:t>
      </w:r>
      <w:r w:rsidR="00B82C27" w:rsidRPr="00B82C27">
        <w:rPr>
          <w:rFonts w:cs="B Nazanin" w:hint="cs"/>
          <w:noProof/>
          <w:rtl/>
          <w:lang w:bidi="fa-IR"/>
        </w:rPr>
        <w:t>داماد</w:t>
      </w:r>
      <w:r w:rsidR="00B82C27" w:rsidRPr="00B82C27">
        <w:rPr>
          <w:rFonts w:cs="B Nazanin"/>
          <w:noProof/>
          <w:rtl/>
          <w:lang w:bidi="fa-IR"/>
        </w:rPr>
        <w:t>, 1391)</w:t>
      </w:r>
      <w:r w:rsidR="00B82C27">
        <w:rPr>
          <w:rFonts w:cs="B Nazanin"/>
          <w:rtl/>
          <w:lang w:bidi="fa-IR"/>
        </w:rPr>
        <w:fldChar w:fldCharType="end"/>
      </w:r>
      <w:r w:rsidR="001B11C8">
        <w:rPr>
          <w:rFonts w:cs="B Nazanin" w:hint="cs"/>
          <w:rtl/>
          <w:lang w:bidi="fa-IR"/>
        </w:rPr>
        <w:t xml:space="preserve"> پذیرش نظریه تقصیر که بیان فلسفه مسئولیت مدنی پزشک را در حقوق ایران توجیه می کند، مبتنی بر این است که اصولاً تعهد پزشک به وسیله است و عدم نقص حدود، موجب ضمان نخواهد بود. هرچند که این ایده قانونگذار </w:t>
      </w:r>
      <w:r w:rsidR="00405CB7">
        <w:rPr>
          <w:rFonts w:cs="B Nazanin" w:hint="cs"/>
          <w:rtl/>
          <w:lang w:bidi="fa-IR"/>
        </w:rPr>
        <w:t>با نظر فقها مخالفت دارد. صاحب جواهر معتقد است پزشک ضامن تلف ناشی از معالجه است</w:t>
      </w:r>
      <w:r w:rsidR="005364C2">
        <w:rPr>
          <w:rFonts w:cs="B Nazanin"/>
          <w:rtl/>
          <w:lang w:bidi="fa-IR"/>
        </w:rPr>
        <w:fldChar w:fldCharType="begin" w:fldLock="1"/>
      </w:r>
      <w:r w:rsidR="00510BAA">
        <w:rPr>
          <w:rFonts w:cs="B Nazanin"/>
          <w:lang w:bidi="fa-IR"/>
        </w:rPr>
        <w:instrText>ADDIN CSL_CITATION {"citationItems":[{"id":"ITEM-1","itemData":{"author":[{"dropping-particle":"","family</w:instrText>
      </w:r>
      <w:r w:rsidR="00510BAA">
        <w:rPr>
          <w:rFonts w:cs="B Nazanin"/>
          <w:rtl/>
          <w:lang w:bidi="fa-IR"/>
        </w:rPr>
        <w:instrText>":"</w:instrText>
      </w:r>
      <w:r w:rsidR="00510BAA">
        <w:rPr>
          <w:rFonts w:cs="B Nazanin" w:hint="cs"/>
          <w:rtl/>
          <w:lang w:bidi="fa-IR"/>
        </w:rPr>
        <w:instrText>نجفی</w:instrText>
      </w:r>
      <w:r w:rsidR="00510BAA">
        <w:rPr>
          <w:rFonts w:cs="B Nazanin"/>
          <w:rtl/>
          <w:lang w:bidi="fa-IR"/>
        </w:rPr>
        <w:instrText>","</w:instrText>
      </w:r>
      <w:r w:rsidR="00510BAA">
        <w:rPr>
          <w:rFonts w:cs="B Nazanin"/>
          <w:lang w:bidi="fa-IR"/>
        </w:rPr>
        <w:instrText>given</w:instrText>
      </w:r>
      <w:r w:rsidR="00510BAA">
        <w:rPr>
          <w:rFonts w:cs="B Nazanin"/>
          <w:rtl/>
          <w:lang w:bidi="fa-IR"/>
        </w:rPr>
        <w:instrText>":"</w:instrText>
      </w:r>
      <w:r w:rsidR="00510BAA">
        <w:rPr>
          <w:rFonts w:cs="B Nazanin" w:hint="cs"/>
          <w:rtl/>
          <w:lang w:bidi="fa-IR"/>
        </w:rPr>
        <w:instrText>محمدحسن</w:instrText>
      </w:r>
      <w:r w:rsidR="00510BAA">
        <w:rPr>
          <w:rFonts w:cs="B Nazanin"/>
          <w:rtl/>
          <w:lang w:bidi="fa-IR"/>
        </w:rPr>
        <w:instrText>","</w:instrText>
      </w:r>
      <w:r w:rsidR="00510BAA">
        <w:rPr>
          <w:rFonts w:cs="B Nazanin"/>
          <w:lang w:bidi="fa-IR"/>
        </w:rPr>
        <w:instrText>non-dropping-particle":"","parse-names":false,"suffix":""}],"edition":"7","id":"ITEM-1","issued":{"date-parts":[["1277</w:instrText>
      </w:r>
      <w:r w:rsidR="00510BAA">
        <w:rPr>
          <w:rFonts w:cs="B Nazanin"/>
          <w:rtl/>
          <w:lang w:bidi="fa-IR"/>
        </w:rPr>
        <w:instrText>"]]},"</w:instrText>
      </w:r>
      <w:r w:rsidR="00510BAA">
        <w:rPr>
          <w:rFonts w:cs="B Nazanin"/>
          <w:lang w:bidi="fa-IR"/>
        </w:rPr>
        <w:instrText>title</w:instrText>
      </w:r>
      <w:r w:rsidR="00510BAA">
        <w:rPr>
          <w:rFonts w:cs="B Nazanin"/>
          <w:rtl/>
          <w:lang w:bidi="fa-IR"/>
        </w:rPr>
        <w:instrText>":"</w:instrText>
      </w:r>
      <w:r w:rsidR="00510BAA">
        <w:rPr>
          <w:rFonts w:cs="B Nazanin" w:hint="cs"/>
          <w:rtl/>
          <w:lang w:bidi="fa-IR"/>
        </w:rPr>
        <w:instrText>جواهر</w:instrText>
      </w:r>
      <w:r w:rsidR="00510BAA">
        <w:rPr>
          <w:rFonts w:cs="B Nazanin"/>
          <w:rtl/>
          <w:lang w:bidi="fa-IR"/>
        </w:rPr>
        <w:instrText xml:space="preserve"> </w:instrText>
      </w:r>
      <w:r w:rsidR="00510BAA">
        <w:rPr>
          <w:rFonts w:cs="B Nazanin" w:hint="cs"/>
          <w:rtl/>
          <w:lang w:bidi="fa-IR"/>
        </w:rPr>
        <w:instrText>الكلام</w:instrText>
      </w:r>
      <w:r w:rsidR="00510BAA">
        <w:rPr>
          <w:rFonts w:cs="B Nazanin"/>
          <w:rtl/>
          <w:lang w:bidi="fa-IR"/>
        </w:rPr>
        <w:instrText xml:space="preserve"> </w:instrText>
      </w:r>
      <w:r w:rsidR="00510BAA">
        <w:rPr>
          <w:rFonts w:cs="B Nazanin" w:hint="cs"/>
          <w:rtl/>
          <w:lang w:bidi="fa-IR"/>
        </w:rPr>
        <w:instrText>في</w:instrText>
      </w:r>
      <w:r w:rsidR="00510BAA">
        <w:rPr>
          <w:rFonts w:cs="B Nazanin"/>
          <w:rtl/>
          <w:lang w:bidi="fa-IR"/>
        </w:rPr>
        <w:instrText xml:space="preserve"> </w:instrText>
      </w:r>
      <w:r w:rsidR="00510BAA">
        <w:rPr>
          <w:rFonts w:cs="B Nazanin" w:hint="cs"/>
          <w:rtl/>
          <w:lang w:bidi="fa-IR"/>
        </w:rPr>
        <w:instrText>شرح</w:instrText>
      </w:r>
      <w:r w:rsidR="00510BAA">
        <w:rPr>
          <w:rFonts w:cs="B Nazanin"/>
          <w:rtl/>
          <w:lang w:bidi="fa-IR"/>
        </w:rPr>
        <w:instrText xml:space="preserve"> </w:instrText>
      </w:r>
      <w:r w:rsidR="00510BAA">
        <w:rPr>
          <w:rFonts w:cs="B Nazanin" w:hint="cs"/>
          <w:rtl/>
          <w:lang w:bidi="fa-IR"/>
        </w:rPr>
        <w:instrText>شرائع</w:instrText>
      </w:r>
      <w:r w:rsidR="00510BAA">
        <w:rPr>
          <w:rFonts w:cs="B Nazanin"/>
          <w:rtl/>
          <w:lang w:bidi="fa-IR"/>
        </w:rPr>
        <w:instrText xml:space="preserve"> </w:instrText>
      </w:r>
      <w:r w:rsidR="00510BAA">
        <w:rPr>
          <w:rFonts w:cs="B Nazanin" w:hint="cs"/>
          <w:rtl/>
          <w:lang w:bidi="fa-IR"/>
        </w:rPr>
        <w:instrText>الإسلام</w:instrText>
      </w:r>
      <w:r w:rsidR="00510BAA">
        <w:rPr>
          <w:rFonts w:cs="B Nazanin"/>
          <w:rtl/>
          <w:lang w:bidi="fa-IR"/>
        </w:rPr>
        <w:instrText>","</w:instrText>
      </w:r>
      <w:r w:rsidR="00510BAA">
        <w:rPr>
          <w:rFonts w:cs="B Nazanin"/>
          <w:lang w:bidi="fa-IR"/>
        </w:rPr>
        <w:instrText>type":"book"},"uris":["http://www.mendeley.com/documents/?uuid=577d2d1a-16fd-4106-8687-a7b005c7d0d2"]}],"mendeley":{"formattedCitation</w:instrText>
      </w:r>
      <w:r w:rsidR="00510BAA">
        <w:rPr>
          <w:rFonts w:cs="B Nazanin"/>
          <w:rtl/>
          <w:lang w:bidi="fa-IR"/>
        </w:rPr>
        <w:instrText>":"(</w:instrText>
      </w:r>
      <w:r w:rsidR="00510BAA">
        <w:rPr>
          <w:rFonts w:cs="B Nazanin" w:hint="cs"/>
          <w:rtl/>
          <w:lang w:bidi="fa-IR"/>
        </w:rPr>
        <w:instrText>نجفی</w:instrText>
      </w:r>
      <w:r w:rsidR="00510BAA">
        <w:rPr>
          <w:rFonts w:cs="B Nazanin"/>
          <w:rtl/>
          <w:lang w:bidi="fa-IR"/>
        </w:rPr>
        <w:instrText>, 1277)","</w:instrText>
      </w:r>
      <w:r w:rsidR="00510BAA">
        <w:rPr>
          <w:rFonts w:cs="B Nazanin"/>
          <w:lang w:bidi="fa-IR"/>
        </w:rPr>
        <w:instrText>plainTextFormattedCitation</w:instrText>
      </w:r>
      <w:r w:rsidR="00510BAA">
        <w:rPr>
          <w:rFonts w:cs="B Nazanin"/>
          <w:rtl/>
          <w:lang w:bidi="fa-IR"/>
        </w:rPr>
        <w:instrText>":"(</w:instrText>
      </w:r>
      <w:r w:rsidR="00510BAA">
        <w:rPr>
          <w:rFonts w:cs="B Nazanin" w:hint="cs"/>
          <w:rtl/>
          <w:lang w:bidi="fa-IR"/>
        </w:rPr>
        <w:instrText>نجفی</w:instrText>
      </w:r>
      <w:r w:rsidR="00510BAA">
        <w:rPr>
          <w:rFonts w:cs="B Nazanin"/>
          <w:rtl/>
          <w:lang w:bidi="fa-IR"/>
        </w:rPr>
        <w:instrText>, 1277)","</w:instrText>
      </w:r>
      <w:r w:rsidR="00510BAA">
        <w:rPr>
          <w:rFonts w:cs="B Nazanin"/>
          <w:lang w:bidi="fa-IR"/>
        </w:rPr>
        <w:instrText>previouslyFormattedCitation</w:instrText>
      </w:r>
      <w:r w:rsidR="00510BAA">
        <w:rPr>
          <w:rFonts w:cs="B Nazanin"/>
          <w:rtl/>
          <w:lang w:bidi="fa-IR"/>
        </w:rPr>
        <w:instrText>":"(</w:instrText>
      </w:r>
      <w:r w:rsidR="00510BAA">
        <w:rPr>
          <w:rFonts w:cs="B Nazanin" w:hint="cs"/>
          <w:rtl/>
          <w:lang w:bidi="fa-IR"/>
        </w:rPr>
        <w:instrText>نجفی</w:instrText>
      </w:r>
      <w:r w:rsidR="00510BAA">
        <w:rPr>
          <w:rFonts w:cs="B Nazanin"/>
          <w:rtl/>
          <w:lang w:bidi="fa-IR"/>
        </w:rPr>
        <w:instrText>, 1277)"},"</w:instrText>
      </w:r>
      <w:r w:rsidR="00510BAA">
        <w:rPr>
          <w:rFonts w:cs="B Nazanin"/>
          <w:lang w:bidi="fa-IR"/>
        </w:rPr>
        <w:instrText>properties":{"noteIndex":0},"schema":"https://github.com/citation-style-language/schema/raw/master/csl-citation.json</w:instrText>
      </w:r>
      <w:r w:rsidR="00510BAA">
        <w:rPr>
          <w:rFonts w:cs="B Nazanin"/>
          <w:rtl/>
          <w:lang w:bidi="fa-IR"/>
        </w:rPr>
        <w:instrText>"}</w:instrText>
      </w:r>
      <w:r w:rsidR="005364C2">
        <w:rPr>
          <w:rFonts w:cs="B Nazanin"/>
          <w:rtl/>
          <w:lang w:bidi="fa-IR"/>
        </w:rPr>
        <w:fldChar w:fldCharType="separate"/>
      </w:r>
      <w:r w:rsidR="005364C2" w:rsidRPr="005364C2">
        <w:rPr>
          <w:rFonts w:cs="B Nazanin"/>
          <w:noProof/>
          <w:rtl/>
          <w:lang w:bidi="fa-IR"/>
        </w:rPr>
        <w:t>(</w:t>
      </w:r>
      <w:r w:rsidR="005364C2" w:rsidRPr="005364C2">
        <w:rPr>
          <w:rFonts w:cs="B Nazanin" w:hint="cs"/>
          <w:noProof/>
          <w:rtl/>
          <w:lang w:bidi="fa-IR"/>
        </w:rPr>
        <w:t>نجفی</w:t>
      </w:r>
      <w:r w:rsidR="005364C2" w:rsidRPr="005364C2">
        <w:rPr>
          <w:rFonts w:cs="B Nazanin"/>
          <w:noProof/>
          <w:rtl/>
          <w:lang w:bidi="fa-IR"/>
        </w:rPr>
        <w:t>, 1277)</w:t>
      </w:r>
      <w:r w:rsidR="005364C2">
        <w:rPr>
          <w:rFonts w:cs="B Nazanin"/>
          <w:rtl/>
          <w:lang w:bidi="fa-IR"/>
        </w:rPr>
        <w:fldChar w:fldCharType="end"/>
      </w:r>
      <w:r w:rsidR="00405CB7">
        <w:rPr>
          <w:rFonts w:cs="B Nazanin" w:hint="cs"/>
          <w:rtl/>
          <w:lang w:bidi="fa-IR"/>
        </w:rPr>
        <w:t>. سؤالی که در اینجا ممکن است مطرح شود این است که آیا وابستگی دارویی اساساً ضرر تلقی می شود یا خیر؟اگر سؤال مطروحه را مسکوت باقی بگذاریم و به حقوق سایر کشور ها از جمله فرانسه رجوع کنیم، می بینیم که اطلاع رسانی به بیمار درباره عوارض درمان تعهد پزشک است. به نظر می رسد که اخذ رضایت نامه و برائت نامه به عنوان مانع مسئولیت منوط به تحقق امر رضایت واقعی است و از جمله چهارچوب اینگونه رضایت، اطلاع از عوارض درمان است</w:t>
      </w:r>
      <w:r w:rsidR="00510BAA">
        <w:rPr>
          <w:rFonts w:cs="B Nazanin" w:hint="cs"/>
          <w:rtl/>
          <w:lang w:bidi="fa-IR"/>
        </w:rPr>
        <w:t xml:space="preserve"> </w:t>
      </w:r>
      <w:r w:rsidR="00510BAA">
        <w:rPr>
          <w:rFonts w:cs="B Nazanin"/>
          <w:rtl/>
          <w:lang w:bidi="fa-IR"/>
        </w:rPr>
        <w:fldChar w:fldCharType="begin" w:fldLock="1"/>
      </w:r>
      <w:r w:rsidR="00426451">
        <w:rPr>
          <w:rFonts w:cs="B Nazanin"/>
          <w:lang w:bidi="fa-IR"/>
        </w:rPr>
        <w:instrText>ADDIN CSL_CITATION {"citationItems":[{"id":"ITEM-1","itemData":{"author":[{"dropping-particle":"","family</w:instrText>
      </w:r>
      <w:r w:rsidR="00426451">
        <w:rPr>
          <w:rFonts w:cs="B Nazanin"/>
          <w:rtl/>
          <w:lang w:bidi="fa-IR"/>
        </w:rPr>
        <w:instrText>":"</w:instrText>
      </w:r>
      <w:r w:rsidR="00426451">
        <w:rPr>
          <w:rFonts w:cs="B Nazanin" w:hint="cs"/>
          <w:rtl/>
          <w:lang w:bidi="fa-IR"/>
        </w:rPr>
        <w:instrText>صفایی</w:instrText>
      </w:r>
      <w:r w:rsidR="00426451">
        <w:rPr>
          <w:rFonts w:cs="B Nazanin"/>
          <w:rtl/>
          <w:lang w:bidi="fa-IR"/>
        </w:rPr>
        <w:instrText>","</w:instrText>
      </w:r>
      <w:r w:rsidR="00426451">
        <w:rPr>
          <w:rFonts w:cs="B Nazanin"/>
          <w:lang w:bidi="fa-IR"/>
        </w:rPr>
        <w:instrText>given</w:instrText>
      </w:r>
      <w:r w:rsidR="00426451">
        <w:rPr>
          <w:rFonts w:cs="B Nazanin"/>
          <w:rtl/>
          <w:lang w:bidi="fa-IR"/>
        </w:rPr>
        <w:instrText>":"‌</w:instrText>
      </w:r>
      <w:r w:rsidR="00426451">
        <w:rPr>
          <w:rFonts w:cs="B Nazanin" w:hint="cs"/>
          <w:rtl/>
          <w:lang w:bidi="fa-IR"/>
        </w:rPr>
        <w:instrText>سیدحسین</w:instrText>
      </w:r>
      <w:r w:rsidR="00426451">
        <w:rPr>
          <w:rFonts w:cs="B Nazanin"/>
          <w:rtl/>
          <w:lang w:bidi="fa-IR"/>
        </w:rPr>
        <w:instrText>","</w:instrText>
      </w:r>
      <w:r w:rsidR="00426451">
        <w:rPr>
          <w:rFonts w:cs="B Nazanin"/>
          <w:lang w:bidi="fa-IR"/>
        </w:rPr>
        <w:instrText>non-dropping-particle":"","parse-names":false,"suffix":""}],"container-title</w:instrText>
      </w:r>
      <w:r w:rsidR="00426451">
        <w:rPr>
          <w:rFonts w:cs="B Nazanin"/>
          <w:rtl/>
          <w:lang w:bidi="fa-IR"/>
        </w:rPr>
        <w:instrText>":"</w:instrText>
      </w:r>
      <w:r w:rsidR="00426451">
        <w:rPr>
          <w:rFonts w:cs="B Nazanin" w:hint="cs"/>
          <w:rtl/>
          <w:lang w:bidi="fa-IR"/>
        </w:rPr>
        <w:instrText>بزرگداشت</w:instrText>
      </w:r>
      <w:r w:rsidR="00426451">
        <w:rPr>
          <w:rFonts w:cs="B Nazanin"/>
          <w:rtl/>
          <w:lang w:bidi="fa-IR"/>
        </w:rPr>
        <w:instrText xml:space="preserve"> </w:instrText>
      </w:r>
      <w:r w:rsidR="00426451">
        <w:rPr>
          <w:rFonts w:cs="B Nazanin" w:hint="cs"/>
          <w:rtl/>
          <w:lang w:bidi="fa-IR"/>
        </w:rPr>
        <w:instrText>استاد</w:instrText>
      </w:r>
      <w:r w:rsidR="00426451">
        <w:rPr>
          <w:rFonts w:cs="B Nazanin"/>
          <w:rtl/>
          <w:lang w:bidi="fa-IR"/>
        </w:rPr>
        <w:instrText xml:space="preserve"> </w:instrText>
      </w:r>
      <w:r w:rsidR="00426451">
        <w:rPr>
          <w:rFonts w:cs="B Nazanin" w:hint="cs"/>
          <w:rtl/>
          <w:lang w:bidi="fa-IR"/>
        </w:rPr>
        <w:instrText>زنده</w:instrText>
      </w:r>
      <w:r w:rsidR="00426451">
        <w:rPr>
          <w:rFonts w:cs="B Nazanin"/>
          <w:rtl/>
          <w:lang w:bidi="fa-IR"/>
        </w:rPr>
        <w:instrText xml:space="preserve"> </w:instrText>
      </w:r>
      <w:r w:rsidR="00426451">
        <w:rPr>
          <w:rFonts w:cs="B Nazanin" w:hint="cs"/>
          <w:rtl/>
          <w:lang w:bidi="fa-IR"/>
        </w:rPr>
        <w:instrText>یاد</w:instrText>
      </w:r>
      <w:r w:rsidR="00426451">
        <w:rPr>
          <w:rFonts w:cs="B Nazanin"/>
          <w:rtl/>
          <w:lang w:bidi="fa-IR"/>
        </w:rPr>
        <w:instrText xml:space="preserve"> </w:instrText>
      </w:r>
      <w:r w:rsidR="00426451">
        <w:rPr>
          <w:rFonts w:cs="B Nazanin" w:hint="cs"/>
          <w:rtl/>
          <w:lang w:bidi="fa-IR"/>
        </w:rPr>
        <w:instrText>دکتر</w:instrText>
      </w:r>
      <w:r w:rsidR="00426451">
        <w:rPr>
          <w:rFonts w:cs="B Nazanin"/>
          <w:rtl/>
          <w:lang w:bidi="fa-IR"/>
        </w:rPr>
        <w:instrText xml:space="preserve"> </w:instrText>
      </w:r>
      <w:r w:rsidR="00426451">
        <w:rPr>
          <w:rFonts w:cs="B Nazanin" w:hint="cs"/>
          <w:rtl/>
          <w:lang w:bidi="fa-IR"/>
        </w:rPr>
        <w:instrText>ابوالقاسم</w:instrText>
      </w:r>
      <w:r w:rsidR="00426451">
        <w:rPr>
          <w:rFonts w:cs="B Nazanin"/>
          <w:rtl/>
          <w:lang w:bidi="fa-IR"/>
        </w:rPr>
        <w:instrText xml:space="preserve"> </w:instrText>
      </w:r>
      <w:r w:rsidR="00426451">
        <w:rPr>
          <w:rFonts w:cs="B Nazanin" w:hint="cs"/>
          <w:rtl/>
          <w:lang w:bidi="fa-IR"/>
        </w:rPr>
        <w:instrText>گرجی</w:instrText>
      </w:r>
      <w:r w:rsidR="00426451">
        <w:rPr>
          <w:rFonts w:cs="B Nazanin"/>
          <w:rtl/>
          <w:lang w:bidi="fa-IR"/>
        </w:rPr>
        <w:instrText>","</w:instrText>
      </w:r>
      <w:r w:rsidR="00426451">
        <w:rPr>
          <w:rFonts w:cs="B Nazanin"/>
          <w:lang w:bidi="fa-IR"/>
        </w:rPr>
        <w:instrText>id":"ITEM-1","issue":"1  ","issued":{"date-parts</w:instrText>
      </w:r>
      <w:r w:rsidR="00426451">
        <w:rPr>
          <w:rFonts w:cs="B Nazanin"/>
          <w:rtl/>
          <w:lang w:bidi="fa-IR"/>
        </w:rPr>
        <w:instrText>":[["1390"]]</w:instrText>
      </w:r>
      <w:r w:rsidR="00426451">
        <w:rPr>
          <w:rFonts w:cs="B Nazanin"/>
          <w:lang w:bidi="fa-IR"/>
        </w:rPr>
        <w:instrText>},"language":"fa","page":"414-433","title</w:instrText>
      </w:r>
      <w:r w:rsidR="00426451">
        <w:rPr>
          <w:rFonts w:cs="B Nazanin"/>
          <w:rtl/>
          <w:lang w:bidi="fa-IR"/>
        </w:rPr>
        <w:instrText>":"</w:instrText>
      </w:r>
      <w:r w:rsidR="00426451">
        <w:rPr>
          <w:rFonts w:cs="B Nazanin" w:hint="cs"/>
          <w:rtl/>
          <w:lang w:bidi="fa-IR"/>
        </w:rPr>
        <w:instrText>مبانی</w:instrText>
      </w:r>
      <w:r w:rsidR="00426451">
        <w:rPr>
          <w:rFonts w:cs="B Nazanin"/>
          <w:rtl/>
          <w:lang w:bidi="fa-IR"/>
        </w:rPr>
        <w:instrText xml:space="preserve"> </w:instrText>
      </w:r>
      <w:r w:rsidR="00426451">
        <w:rPr>
          <w:rFonts w:cs="B Nazanin" w:hint="cs"/>
          <w:rtl/>
          <w:lang w:bidi="fa-IR"/>
        </w:rPr>
        <w:instrText>مسئولیت</w:instrText>
      </w:r>
      <w:r w:rsidR="00426451">
        <w:rPr>
          <w:rFonts w:cs="B Nazanin"/>
          <w:rtl/>
          <w:lang w:bidi="fa-IR"/>
        </w:rPr>
        <w:instrText xml:space="preserve"> </w:instrText>
      </w:r>
      <w:r w:rsidR="00426451">
        <w:rPr>
          <w:rFonts w:cs="B Nazanin" w:hint="cs"/>
          <w:rtl/>
          <w:lang w:bidi="fa-IR"/>
        </w:rPr>
        <w:instrText>مدنی</w:instrText>
      </w:r>
      <w:r w:rsidR="00426451">
        <w:rPr>
          <w:rFonts w:cs="B Nazanin"/>
          <w:rtl/>
          <w:lang w:bidi="fa-IR"/>
        </w:rPr>
        <w:instrText xml:space="preserve"> </w:instrText>
      </w:r>
      <w:r w:rsidR="00426451">
        <w:rPr>
          <w:rFonts w:cs="B Nazanin" w:hint="cs"/>
          <w:rtl/>
          <w:lang w:bidi="fa-IR"/>
        </w:rPr>
        <w:instrText>پزشک</w:instrText>
      </w:r>
      <w:r w:rsidR="00426451">
        <w:rPr>
          <w:rFonts w:cs="B Nazanin"/>
          <w:rtl/>
          <w:lang w:bidi="fa-IR"/>
        </w:rPr>
        <w:instrText>","</w:instrText>
      </w:r>
      <w:r w:rsidR="00426451">
        <w:rPr>
          <w:rFonts w:cs="B Nazanin"/>
          <w:lang w:bidi="fa-IR"/>
        </w:rPr>
        <w:instrText>type":"article-journal","volume":"1"},"uris":["http://www.mendeley.com/documents/?uuid=f4021720-3066-41ce-9e70-4a1c24ae4c54"]}],"mendeley":{"formattedCitation</w:instrText>
      </w:r>
      <w:r w:rsidR="00426451">
        <w:rPr>
          <w:rFonts w:cs="B Nazanin"/>
          <w:rtl/>
          <w:lang w:bidi="fa-IR"/>
        </w:rPr>
        <w:instrText>":"(</w:instrText>
      </w:r>
      <w:r w:rsidR="00426451">
        <w:rPr>
          <w:rFonts w:cs="B Nazanin" w:hint="cs"/>
          <w:rtl/>
          <w:lang w:bidi="fa-IR"/>
        </w:rPr>
        <w:instrText>صفایی</w:instrText>
      </w:r>
      <w:r w:rsidR="00426451">
        <w:rPr>
          <w:rFonts w:cs="B Nazanin"/>
          <w:rtl/>
          <w:lang w:bidi="fa-IR"/>
        </w:rPr>
        <w:instrText>, 1390)","</w:instrText>
      </w:r>
      <w:r w:rsidR="00426451">
        <w:rPr>
          <w:rFonts w:cs="B Nazanin"/>
          <w:lang w:bidi="fa-IR"/>
        </w:rPr>
        <w:instrText>plainTextFormattedCitation</w:instrText>
      </w:r>
      <w:r w:rsidR="00426451">
        <w:rPr>
          <w:rFonts w:cs="B Nazanin"/>
          <w:rtl/>
          <w:lang w:bidi="fa-IR"/>
        </w:rPr>
        <w:instrText>":"(</w:instrText>
      </w:r>
      <w:r w:rsidR="00426451">
        <w:rPr>
          <w:rFonts w:cs="B Nazanin" w:hint="cs"/>
          <w:rtl/>
          <w:lang w:bidi="fa-IR"/>
        </w:rPr>
        <w:instrText>صفایی</w:instrText>
      </w:r>
      <w:r w:rsidR="00426451">
        <w:rPr>
          <w:rFonts w:cs="B Nazanin"/>
          <w:rtl/>
          <w:lang w:bidi="fa-IR"/>
        </w:rPr>
        <w:instrText>, 1390)","</w:instrText>
      </w:r>
      <w:r w:rsidR="00426451">
        <w:rPr>
          <w:rFonts w:cs="B Nazanin"/>
          <w:lang w:bidi="fa-IR"/>
        </w:rPr>
        <w:instrText>previouslyFormattedCitation</w:instrText>
      </w:r>
      <w:r w:rsidR="00426451">
        <w:rPr>
          <w:rFonts w:cs="B Nazanin"/>
          <w:rtl/>
          <w:lang w:bidi="fa-IR"/>
        </w:rPr>
        <w:instrText>":"(</w:instrText>
      </w:r>
      <w:r w:rsidR="00426451">
        <w:rPr>
          <w:rFonts w:cs="B Nazanin" w:hint="cs"/>
          <w:rtl/>
          <w:lang w:bidi="fa-IR"/>
        </w:rPr>
        <w:instrText>صفایی</w:instrText>
      </w:r>
      <w:r w:rsidR="00426451">
        <w:rPr>
          <w:rFonts w:cs="B Nazanin"/>
          <w:rtl/>
          <w:lang w:bidi="fa-IR"/>
        </w:rPr>
        <w:instrText>, 1390)"},"</w:instrText>
      </w:r>
      <w:r w:rsidR="00426451">
        <w:rPr>
          <w:rFonts w:cs="B Nazanin"/>
          <w:lang w:bidi="fa-IR"/>
        </w:rPr>
        <w:instrText>properties":{"noteIndex":0},"schema":"https://github.com/citation-style-language/schema/raw/master/csl-citation.json</w:instrText>
      </w:r>
      <w:r w:rsidR="00426451">
        <w:rPr>
          <w:rFonts w:cs="B Nazanin"/>
          <w:rtl/>
          <w:lang w:bidi="fa-IR"/>
        </w:rPr>
        <w:instrText>"}</w:instrText>
      </w:r>
      <w:r w:rsidR="00510BAA">
        <w:rPr>
          <w:rFonts w:cs="B Nazanin"/>
          <w:rtl/>
          <w:lang w:bidi="fa-IR"/>
        </w:rPr>
        <w:fldChar w:fldCharType="separate"/>
      </w:r>
      <w:r w:rsidR="00510BAA" w:rsidRPr="00510BAA">
        <w:rPr>
          <w:rFonts w:cs="B Nazanin"/>
          <w:noProof/>
          <w:rtl/>
          <w:lang w:bidi="fa-IR"/>
        </w:rPr>
        <w:t>(</w:t>
      </w:r>
      <w:r w:rsidR="00510BAA" w:rsidRPr="00510BAA">
        <w:rPr>
          <w:rFonts w:cs="B Nazanin" w:hint="cs"/>
          <w:noProof/>
          <w:rtl/>
          <w:lang w:bidi="fa-IR"/>
        </w:rPr>
        <w:t>صفایی</w:t>
      </w:r>
      <w:r w:rsidR="00510BAA" w:rsidRPr="00510BAA">
        <w:rPr>
          <w:rFonts w:cs="B Nazanin"/>
          <w:noProof/>
          <w:rtl/>
          <w:lang w:bidi="fa-IR"/>
        </w:rPr>
        <w:t>, 1390)</w:t>
      </w:r>
      <w:r w:rsidR="00510BAA">
        <w:rPr>
          <w:rFonts w:cs="B Nazanin"/>
          <w:rtl/>
          <w:lang w:bidi="fa-IR"/>
        </w:rPr>
        <w:fldChar w:fldCharType="end"/>
      </w:r>
      <w:r w:rsidR="00510BAA">
        <w:rPr>
          <w:rFonts w:cs="B Nazanin" w:hint="cs"/>
          <w:rtl/>
          <w:lang w:bidi="fa-IR"/>
        </w:rPr>
        <w:t xml:space="preserve">. </w:t>
      </w:r>
      <w:r w:rsidR="00405CB7">
        <w:rPr>
          <w:rFonts w:cs="B Nazanin" w:hint="cs"/>
          <w:rtl/>
          <w:lang w:bidi="fa-IR"/>
        </w:rPr>
        <w:t>ضابطه تعیین تقصیر در نظام های حقوقی متفاوت است اما به صورت کلی تقصیر پزشک یک تقصیر نوعی است و نه شخصی، اما ضابطه این تقسیم در کشورهایی مثل آلمان، سوئیس و اتریش مبنای عملکرد پزشک منصف است. البته سخت گیری قابل توجهی در مصداق یابی آن می شود. آسان گیری در این امر راه حل مناسبی در کشور فرانسه نیز سعی شده تقصیر را با توجه به شرایط فرد احراز کنند</w:t>
      </w:r>
      <w:r w:rsidR="00D550AB">
        <w:rPr>
          <w:rFonts w:cs="B Nazanin" w:hint="cs"/>
          <w:rtl/>
          <w:lang w:bidi="fa-IR"/>
        </w:rPr>
        <w:t xml:space="preserve"> که در واقع تقصیر را به صورت شخصی معیارگذاری می کنند. اما در میان این اختلاف نظرها، تمامی نظام های حقوقی هدف پزشک را درمان می دانند نه جست و جوی نوآوری های درمانی، مگر اینکه تنها راه نجات بیمار همان روش های ابداعی باشد. نکته دیگر مشترک در میان نهاد های حقوقی و سازمان های بین المللی رعایت استاندار های مراقبتی و مهارت متعارف است.</w:t>
      </w:r>
      <w:r w:rsidR="00426451">
        <w:rPr>
          <w:rFonts w:cs="B Nazanin"/>
          <w:rtl/>
          <w:lang w:bidi="fa-IR"/>
        </w:rPr>
        <w:fldChar w:fldCharType="begin" w:fldLock="1"/>
      </w:r>
      <w:r w:rsidR="00426451">
        <w:rPr>
          <w:rFonts w:cs="B Nazanin"/>
          <w:lang w:bidi="fa-IR"/>
        </w:rPr>
        <w:instrText>ADDIN CSL_CITATION {"citationItems":[{"id":"ITEM-1","itemData":{"author":[{"dropping-particle":"","family</w:instrText>
      </w:r>
      <w:r w:rsidR="00426451">
        <w:rPr>
          <w:rFonts w:cs="B Nazanin"/>
          <w:rtl/>
          <w:lang w:bidi="fa-IR"/>
        </w:rPr>
        <w:instrText>":"</w:instrText>
      </w:r>
      <w:r w:rsidR="00426451">
        <w:rPr>
          <w:rFonts w:cs="B Nazanin" w:hint="cs"/>
          <w:rtl/>
          <w:lang w:bidi="fa-IR"/>
        </w:rPr>
        <w:instrText>حاجی‌نوری</w:instrText>
      </w:r>
      <w:r w:rsidR="00426451">
        <w:rPr>
          <w:rFonts w:cs="B Nazanin"/>
          <w:rtl/>
          <w:lang w:bidi="fa-IR"/>
        </w:rPr>
        <w:instrText>","</w:instrText>
      </w:r>
      <w:r w:rsidR="00426451">
        <w:rPr>
          <w:rFonts w:cs="B Nazanin"/>
          <w:lang w:bidi="fa-IR"/>
        </w:rPr>
        <w:instrText>given</w:instrText>
      </w:r>
      <w:r w:rsidR="00426451">
        <w:rPr>
          <w:rFonts w:cs="B Nazanin"/>
          <w:rtl/>
          <w:lang w:bidi="fa-IR"/>
        </w:rPr>
        <w:instrText>":"‌</w:instrText>
      </w:r>
      <w:r w:rsidR="00426451">
        <w:rPr>
          <w:rFonts w:cs="B Nazanin" w:hint="cs"/>
          <w:rtl/>
          <w:lang w:bidi="fa-IR"/>
        </w:rPr>
        <w:instrText>غلامرضا</w:instrText>
      </w:r>
      <w:r w:rsidR="00426451">
        <w:rPr>
          <w:rFonts w:cs="B Nazanin"/>
          <w:rtl/>
          <w:lang w:bidi="fa-IR"/>
        </w:rPr>
        <w:instrText>","</w:instrText>
      </w:r>
      <w:r w:rsidR="00426451">
        <w:rPr>
          <w:rFonts w:cs="B Nazanin"/>
          <w:lang w:bidi="fa-IR"/>
        </w:rPr>
        <w:instrText>non-dropping-particle":"","parse-names":false,"suffix":""}],"container-title</w:instrText>
      </w:r>
      <w:r w:rsidR="00426451">
        <w:rPr>
          <w:rFonts w:cs="B Nazanin"/>
          <w:rtl/>
          <w:lang w:bidi="fa-IR"/>
        </w:rPr>
        <w:instrText>":"</w:instrText>
      </w:r>
      <w:r w:rsidR="00426451">
        <w:rPr>
          <w:rFonts w:cs="B Nazanin" w:hint="cs"/>
          <w:rtl/>
          <w:lang w:bidi="fa-IR"/>
        </w:rPr>
        <w:instrText>پژوهش</w:instrText>
      </w:r>
      <w:r w:rsidR="00426451">
        <w:rPr>
          <w:rFonts w:cs="B Nazanin"/>
          <w:rtl/>
          <w:lang w:bidi="fa-IR"/>
        </w:rPr>
        <w:instrText xml:space="preserve"> </w:instrText>
      </w:r>
      <w:r w:rsidR="00426451">
        <w:rPr>
          <w:rFonts w:cs="B Nazanin" w:hint="cs"/>
          <w:rtl/>
          <w:lang w:bidi="fa-IR"/>
        </w:rPr>
        <w:instrText>حقوق</w:instrText>
      </w:r>
      <w:r w:rsidR="00426451">
        <w:rPr>
          <w:rFonts w:cs="B Nazanin"/>
          <w:rtl/>
          <w:lang w:bidi="fa-IR"/>
        </w:rPr>
        <w:instrText xml:space="preserve"> </w:instrText>
      </w:r>
      <w:r w:rsidR="00426451">
        <w:rPr>
          <w:rFonts w:cs="B Nazanin" w:hint="cs"/>
          <w:rtl/>
          <w:lang w:bidi="fa-IR"/>
        </w:rPr>
        <w:instrText>خصوصی</w:instrText>
      </w:r>
      <w:r w:rsidR="00426451">
        <w:rPr>
          <w:rFonts w:cs="B Nazanin"/>
          <w:rtl/>
          <w:lang w:bidi="fa-IR"/>
        </w:rPr>
        <w:instrText>","</w:instrText>
      </w:r>
      <w:r w:rsidR="00426451">
        <w:rPr>
          <w:rFonts w:cs="B Nazanin"/>
          <w:lang w:bidi="fa-IR"/>
        </w:rPr>
        <w:instrText>id":"ITEM-1","issue":"3  ","issued":{"date-parts</w:instrText>
      </w:r>
      <w:r w:rsidR="00426451">
        <w:rPr>
          <w:rFonts w:cs="B Nazanin"/>
          <w:rtl/>
          <w:lang w:bidi="fa-IR"/>
        </w:rPr>
        <w:instrText>":[["1394"]]</w:instrText>
      </w:r>
      <w:r w:rsidR="00426451">
        <w:rPr>
          <w:rFonts w:cs="B Nazanin"/>
          <w:lang w:bidi="fa-IR"/>
        </w:rPr>
        <w:instrText>},"language":"fa","page":"9-36","title</w:instrText>
      </w:r>
      <w:r w:rsidR="00426451">
        <w:rPr>
          <w:rFonts w:cs="B Nazanin"/>
          <w:rtl/>
          <w:lang w:bidi="fa-IR"/>
        </w:rPr>
        <w:instrText>":"</w:instrText>
      </w:r>
      <w:r w:rsidR="00426451">
        <w:rPr>
          <w:rFonts w:cs="B Nazanin" w:hint="cs"/>
          <w:rtl/>
          <w:lang w:bidi="fa-IR"/>
        </w:rPr>
        <w:instrText>نگرشی</w:instrText>
      </w:r>
      <w:r w:rsidR="00426451">
        <w:rPr>
          <w:rFonts w:cs="B Nazanin"/>
          <w:rtl/>
          <w:lang w:bidi="fa-IR"/>
        </w:rPr>
        <w:instrText xml:space="preserve"> </w:instrText>
      </w:r>
      <w:r w:rsidR="00426451">
        <w:rPr>
          <w:rFonts w:cs="B Nazanin" w:hint="cs"/>
          <w:rtl/>
          <w:lang w:bidi="fa-IR"/>
        </w:rPr>
        <w:instrText>تطبیقی</w:instrText>
      </w:r>
      <w:r w:rsidR="00426451">
        <w:rPr>
          <w:rFonts w:cs="B Nazanin"/>
          <w:rtl/>
          <w:lang w:bidi="fa-IR"/>
        </w:rPr>
        <w:instrText xml:space="preserve"> </w:instrText>
      </w:r>
      <w:r w:rsidR="00426451">
        <w:rPr>
          <w:rFonts w:cs="B Nazanin" w:hint="cs"/>
          <w:rtl/>
          <w:lang w:bidi="fa-IR"/>
        </w:rPr>
        <w:instrText>بر</w:instrText>
      </w:r>
      <w:r w:rsidR="00426451">
        <w:rPr>
          <w:rFonts w:cs="B Nazanin"/>
          <w:rtl/>
          <w:lang w:bidi="fa-IR"/>
        </w:rPr>
        <w:instrText xml:space="preserve"> </w:instrText>
      </w:r>
      <w:r w:rsidR="00426451">
        <w:rPr>
          <w:rFonts w:cs="B Nazanin" w:hint="cs"/>
          <w:rtl/>
          <w:lang w:bidi="fa-IR"/>
        </w:rPr>
        <w:instrText>مفهوم</w:instrText>
      </w:r>
      <w:r w:rsidR="00426451">
        <w:rPr>
          <w:rFonts w:cs="B Nazanin"/>
          <w:rtl/>
          <w:lang w:bidi="fa-IR"/>
        </w:rPr>
        <w:instrText xml:space="preserve"> </w:instrText>
      </w:r>
      <w:r w:rsidR="00426451">
        <w:rPr>
          <w:rFonts w:cs="B Nazanin" w:hint="cs"/>
          <w:rtl/>
          <w:lang w:bidi="fa-IR"/>
        </w:rPr>
        <w:instrText>معیار</w:instrText>
      </w:r>
      <w:r w:rsidR="00426451">
        <w:rPr>
          <w:rFonts w:cs="B Nazanin"/>
          <w:rtl/>
          <w:lang w:bidi="fa-IR"/>
        </w:rPr>
        <w:instrText xml:space="preserve"> </w:instrText>
      </w:r>
      <w:r w:rsidR="00426451">
        <w:rPr>
          <w:rFonts w:cs="B Nazanin" w:hint="cs"/>
          <w:rtl/>
          <w:lang w:bidi="fa-IR"/>
        </w:rPr>
        <w:instrText>تقصیر</w:instrText>
      </w:r>
      <w:r w:rsidR="00426451">
        <w:rPr>
          <w:rFonts w:cs="B Nazanin"/>
          <w:rtl/>
          <w:lang w:bidi="fa-IR"/>
        </w:rPr>
        <w:instrText xml:space="preserve"> </w:instrText>
      </w:r>
      <w:r w:rsidR="00426451">
        <w:rPr>
          <w:rFonts w:cs="B Nazanin" w:hint="cs"/>
          <w:rtl/>
          <w:lang w:bidi="fa-IR"/>
        </w:rPr>
        <w:instrText>پزشک</w:instrText>
      </w:r>
      <w:r w:rsidR="00426451">
        <w:rPr>
          <w:rFonts w:cs="B Nazanin"/>
          <w:rtl/>
          <w:lang w:bidi="fa-IR"/>
        </w:rPr>
        <w:instrText>","</w:instrText>
      </w:r>
      <w:r w:rsidR="00426451">
        <w:rPr>
          <w:rFonts w:cs="B Nazanin"/>
          <w:lang w:bidi="fa-IR"/>
        </w:rPr>
        <w:instrText>type":"article-journal","volume":"11"},"uris":["http://www.mendeley.com/documents/?uuid=95983e9b-534a-4f67-b27f-f52debe94c9e"]}],"mendeley</w:instrText>
      </w:r>
      <w:r w:rsidR="00426451">
        <w:rPr>
          <w:rFonts w:cs="B Nazanin"/>
          <w:rtl/>
          <w:lang w:bidi="fa-IR"/>
        </w:rPr>
        <w:instrText>":{"</w:instrText>
      </w:r>
      <w:r w:rsidR="00426451">
        <w:rPr>
          <w:rFonts w:cs="B Nazanin"/>
          <w:lang w:bidi="fa-IR"/>
        </w:rPr>
        <w:instrText>formattedCitation</w:instrText>
      </w:r>
      <w:r w:rsidR="00426451">
        <w:rPr>
          <w:rFonts w:cs="B Nazanin"/>
          <w:rtl/>
          <w:lang w:bidi="fa-IR"/>
        </w:rPr>
        <w:instrText>":"(</w:instrText>
      </w:r>
      <w:r w:rsidR="00426451">
        <w:rPr>
          <w:rFonts w:cs="B Nazanin" w:hint="cs"/>
          <w:rtl/>
          <w:lang w:bidi="fa-IR"/>
        </w:rPr>
        <w:instrText>حاجی‌نوری</w:instrText>
      </w:r>
      <w:r w:rsidR="00426451">
        <w:rPr>
          <w:rFonts w:cs="B Nazanin"/>
          <w:rtl/>
          <w:lang w:bidi="fa-IR"/>
        </w:rPr>
        <w:instrText>, 1394)","</w:instrText>
      </w:r>
      <w:r w:rsidR="00426451">
        <w:rPr>
          <w:rFonts w:cs="B Nazanin"/>
          <w:lang w:bidi="fa-IR"/>
        </w:rPr>
        <w:instrText>plainTextFormattedCitation</w:instrText>
      </w:r>
      <w:r w:rsidR="00426451">
        <w:rPr>
          <w:rFonts w:cs="B Nazanin"/>
          <w:rtl/>
          <w:lang w:bidi="fa-IR"/>
        </w:rPr>
        <w:instrText>":"(</w:instrText>
      </w:r>
      <w:r w:rsidR="00426451">
        <w:rPr>
          <w:rFonts w:cs="B Nazanin" w:hint="cs"/>
          <w:rtl/>
          <w:lang w:bidi="fa-IR"/>
        </w:rPr>
        <w:instrText>حاجی‌نوری</w:instrText>
      </w:r>
      <w:r w:rsidR="00426451">
        <w:rPr>
          <w:rFonts w:cs="B Nazanin"/>
          <w:rtl/>
          <w:lang w:bidi="fa-IR"/>
        </w:rPr>
        <w:instrText>, 1394)","</w:instrText>
      </w:r>
      <w:r w:rsidR="00426451">
        <w:rPr>
          <w:rFonts w:cs="B Nazanin"/>
          <w:lang w:bidi="fa-IR"/>
        </w:rPr>
        <w:instrText>previouslyFormattedCitation</w:instrText>
      </w:r>
      <w:r w:rsidR="00426451">
        <w:rPr>
          <w:rFonts w:cs="B Nazanin"/>
          <w:rtl/>
          <w:lang w:bidi="fa-IR"/>
        </w:rPr>
        <w:instrText>":"(</w:instrText>
      </w:r>
      <w:r w:rsidR="00426451">
        <w:rPr>
          <w:rFonts w:cs="B Nazanin" w:hint="cs"/>
          <w:rtl/>
          <w:lang w:bidi="fa-IR"/>
        </w:rPr>
        <w:instrText>حاجی‌نوری</w:instrText>
      </w:r>
      <w:r w:rsidR="00426451">
        <w:rPr>
          <w:rFonts w:cs="B Nazanin"/>
          <w:rtl/>
          <w:lang w:bidi="fa-IR"/>
        </w:rPr>
        <w:instrText>, 1394)"},"</w:instrText>
      </w:r>
      <w:r w:rsidR="00426451">
        <w:rPr>
          <w:rFonts w:cs="B Nazanin"/>
          <w:lang w:bidi="fa-IR"/>
        </w:rPr>
        <w:instrText>properties":{"noteIndex":0},"schema":"https://github.com/citation-style-language/schema/raw/master/csl-citation.json</w:instrText>
      </w:r>
      <w:r w:rsidR="00426451">
        <w:rPr>
          <w:rFonts w:cs="B Nazanin"/>
          <w:rtl/>
          <w:lang w:bidi="fa-IR"/>
        </w:rPr>
        <w:instrText>"}</w:instrText>
      </w:r>
      <w:r w:rsidR="00426451">
        <w:rPr>
          <w:rFonts w:cs="B Nazanin"/>
          <w:rtl/>
          <w:lang w:bidi="fa-IR"/>
        </w:rPr>
        <w:fldChar w:fldCharType="separate"/>
      </w:r>
      <w:r w:rsidR="00426451" w:rsidRPr="00426451">
        <w:rPr>
          <w:rFonts w:cs="B Nazanin"/>
          <w:noProof/>
          <w:rtl/>
          <w:lang w:bidi="fa-IR"/>
        </w:rPr>
        <w:t>(</w:t>
      </w:r>
      <w:r w:rsidR="00426451" w:rsidRPr="00426451">
        <w:rPr>
          <w:rFonts w:cs="B Nazanin" w:hint="cs"/>
          <w:noProof/>
          <w:rtl/>
          <w:lang w:bidi="fa-IR"/>
        </w:rPr>
        <w:t>حاجی‌نوری</w:t>
      </w:r>
      <w:r w:rsidR="00426451" w:rsidRPr="00426451">
        <w:rPr>
          <w:rFonts w:cs="B Nazanin"/>
          <w:noProof/>
          <w:rtl/>
          <w:lang w:bidi="fa-IR"/>
        </w:rPr>
        <w:t>, 1394)</w:t>
      </w:r>
      <w:r w:rsidR="00426451">
        <w:rPr>
          <w:rFonts w:cs="B Nazanin"/>
          <w:rtl/>
          <w:lang w:bidi="fa-IR"/>
        </w:rPr>
        <w:fldChar w:fldCharType="end"/>
      </w:r>
    </w:p>
    <w:p w14:paraId="122C31F4" w14:textId="77777777" w:rsidR="00227D95" w:rsidRDefault="00227D95" w:rsidP="001D0E59">
      <w:pPr>
        <w:bidi/>
        <w:spacing w:after="0" w:line="240" w:lineRule="auto"/>
        <w:jc w:val="lowKashida"/>
        <w:outlineLvl w:val="0"/>
        <w:rPr>
          <w:rFonts w:cs="B Nazanin"/>
          <w:sz w:val="32"/>
          <w:szCs w:val="32"/>
          <w:rtl/>
          <w:lang w:bidi="fa-IR"/>
        </w:rPr>
      </w:pPr>
    </w:p>
    <w:p w14:paraId="4A0BB0AE" w14:textId="77777777" w:rsidR="00E60E0B" w:rsidRDefault="00E60E0B" w:rsidP="001D0E59">
      <w:pPr>
        <w:bidi/>
        <w:spacing w:after="0" w:line="240" w:lineRule="auto"/>
        <w:jc w:val="lowKashida"/>
        <w:outlineLvl w:val="0"/>
        <w:rPr>
          <w:rFonts w:cs="B Nazanin"/>
          <w:b/>
          <w:bCs/>
          <w:rtl/>
          <w:lang w:bidi="fa-IR"/>
        </w:rPr>
      </w:pPr>
    </w:p>
    <w:p w14:paraId="51B22216" w14:textId="77777777" w:rsidR="00E60E0B" w:rsidRDefault="00E60E0B" w:rsidP="00E60E0B">
      <w:pPr>
        <w:bidi/>
        <w:spacing w:after="0" w:line="240" w:lineRule="auto"/>
        <w:jc w:val="lowKashida"/>
        <w:outlineLvl w:val="0"/>
        <w:rPr>
          <w:rFonts w:cs="B Nazanin"/>
          <w:b/>
          <w:bCs/>
          <w:rtl/>
          <w:lang w:bidi="fa-IR"/>
        </w:rPr>
      </w:pPr>
    </w:p>
    <w:p w14:paraId="5C819469" w14:textId="77777777" w:rsidR="00E60E0B" w:rsidRDefault="00E60E0B" w:rsidP="00E60E0B">
      <w:pPr>
        <w:bidi/>
        <w:spacing w:after="0" w:line="240" w:lineRule="auto"/>
        <w:jc w:val="lowKashida"/>
        <w:outlineLvl w:val="0"/>
        <w:rPr>
          <w:rFonts w:cs="B Nazanin"/>
          <w:b/>
          <w:bCs/>
          <w:rtl/>
          <w:lang w:bidi="fa-IR"/>
        </w:rPr>
      </w:pPr>
    </w:p>
    <w:p w14:paraId="6C8B5502" w14:textId="77777777" w:rsidR="00E60E0B" w:rsidRDefault="00E60E0B" w:rsidP="00E60E0B">
      <w:pPr>
        <w:bidi/>
        <w:spacing w:after="0" w:line="240" w:lineRule="auto"/>
        <w:jc w:val="lowKashida"/>
        <w:outlineLvl w:val="0"/>
        <w:rPr>
          <w:rFonts w:cs="B Nazanin"/>
          <w:b/>
          <w:bCs/>
          <w:rtl/>
          <w:lang w:bidi="fa-IR"/>
        </w:rPr>
      </w:pPr>
    </w:p>
    <w:p w14:paraId="4050392C" w14:textId="72276645" w:rsidR="00227D95" w:rsidRDefault="00227D95" w:rsidP="00E60E0B">
      <w:pPr>
        <w:bidi/>
        <w:spacing w:after="0" w:line="240" w:lineRule="auto"/>
        <w:jc w:val="lowKashida"/>
        <w:outlineLvl w:val="0"/>
        <w:rPr>
          <w:rFonts w:cs="B Nazanin"/>
          <w:b/>
          <w:bCs/>
          <w:rtl/>
          <w:lang w:bidi="fa-IR"/>
        </w:rPr>
      </w:pPr>
      <w:r>
        <w:rPr>
          <w:rFonts w:cs="B Nazanin" w:hint="cs"/>
          <w:b/>
          <w:bCs/>
          <w:rtl/>
          <w:lang w:bidi="fa-IR"/>
        </w:rPr>
        <w:t>نتیجه گیری</w:t>
      </w:r>
    </w:p>
    <w:p w14:paraId="43A4CD12" w14:textId="636777A6" w:rsidR="00227D95" w:rsidRPr="00227D95" w:rsidRDefault="00F55AD8" w:rsidP="001D0E59">
      <w:pPr>
        <w:bidi/>
        <w:spacing w:after="0" w:line="240" w:lineRule="auto"/>
        <w:jc w:val="lowKashida"/>
        <w:outlineLvl w:val="0"/>
        <w:rPr>
          <w:rFonts w:cs="B Nazanin"/>
          <w:rtl/>
          <w:lang w:bidi="fa-IR"/>
        </w:rPr>
      </w:pPr>
      <w:r>
        <w:rPr>
          <w:rFonts w:cs="B Nazanin" w:hint="cs"/>
          <w:rtl/>
          <w:lang w:bidi="fa-IR"/>
        </w:rPr>
        <w:t>فلوکستین به عنوان درمان اصلی افسردگی شناخته می شود و از طریق با جذب سروتونین اثر خود را بر جای می گذارد اما چهارچوبی برای تجویز و نحوه درمان با این دارو وجود دارد. اولاً زمانی که این دارو همراه با</w:t>
      </w:r>
      <w:r>
        <w:rPr>
          <w:rFonts w:cs="B Nazanin"/>
          <w:lang w:bidi="fa-IR"/>
        </w:rPr>
        <w:t>CBT</w:t>
      </w:r>
      <w:r>
        <w:rPr>
          <w:rFonts w:cs="B Nazanin" w:hint="cs"/>
          <w:rtl/>
          <w:lang w:bidi="fa-IR"/>
        </w:rPr>
        <w:t xml:space="preserve"> تجویز و استفاده نمی شود، براساس یافته ها احتمال ایجاد وابستگی دارویی در بیمار به طرز قابل توجهی بالا می رود. از این رو پزشک معالج چنانچه قصد انجام</w:t>
      </w:r>
      <w:r>
        <w:rPr>
          <w:rFonts w:cs="B Nazanin"/>
          <w:lang w:bidi="fa-IR"/>
        </w:rPr>
        <w:t>CBT</w:t>
      </w:r>
      <w:r>
        <w:rPr>
          <w:rFonts w:cs="B Nazanin" w:hint="cs"/>
          <w:rtl/>
          <w:lang w:bidi="fa-IR"/>
        </w:rPr>
        <w:t xml:space="preserve"> را نداشته، باید به بیمار تمامی عوارض احتمالی را بیان کند و بیمار باید از روش های جایگزین نیز مطلع شود تا بر اساس اتونومی یا آزادی فردی دست به انتخاب شی</w:t>
      </w:r>
      <w:r w:rsidR="00E60E0B">
        <w:rPr>
          <w:rFonts w:cs="B Nazanin" w:hint="cs"/>
          <w:rtl/>
          <w:lang w:bidi="fa-IR"/>
        </w:rPr>
        <w:t xml:space="preserve">وع </w:t>
      </w:r>
      <w:r>
        <w:rPr>
          <w:rFonts w:cs="B Nazanin" w:hint="cs"/>
          <w:rtl/>
          <w:lang w:bidi="fa-IR"/>
        </w:rPr>
        <w:t>درمان بزند، در غیر این صورت پزشک معالج به خاطر عدم رعایت موازین علمی و خدشه دار شدن رضایت آگاهانه مسئولیت کیفری پیدا خواهد کرد. هرچند که از نظر مسئولیت مدنی نیز اینگونه به نظر می رسد که دارای مسئولیت است. اما لازمه این مسئولیت ابتدا بسط مفهوم مسئولیت معنوی در حقوق ایران است. هرچند که بر اساس ماده 1 قانون مسئولیت مدنی می توان درخواست پرداخت خسارت را در چنین شرایطی دارای وجاهت قانونی دانست. به صورت کلی تجویز هریک از داروهای</w:t>
      </w:r>
      <w:r>
        <w:rPr>
          <w:rFonts w:cs="B Nazanin"/>
          <w:lang w:bidi="fa-IR"/>
        </w:rPr>
        <w:t>SSRI</w:t>
      </w:r>
      <w:r>
        <w:rPr>
          <w:rFonts w:cs="B Nazanin" w:hint="cs"/>
          <w:rtl/>
          <w:lang w:bidi="fa-IR"/>
        </w:rPr>
        <w:t xml:space="preserve"> نیازمند در نظر گرفتن </w:t>
      </w:r>
      <w:r w:rsidR="00F2782D">
        <w:rPr>
          <w:rFonts w:cs="B Nazanin" w:hint="cs"/>
          <w:rtl/>
          <w:lang w:bidi="fa-IR"/>
        </w:rPr>
        <w:t>شرایط کلی بیمار است، به طور مثال در مواقعی که فرد مبتلا به افسردگی باردار است، استفاده از فلوکستین موجب نازک شدن بطن جنین می شود یا در مواقعی که سن بیمار مبتلا به افسردگی بالاست، تجویز فلوکستین می تواند در فرد ایجاد عارضه قلبی کند. در مثال اول چنانچه دکتر بدون در نظرگرفتن شرایط بیمار اقدام به تجویز فلوکستین و به جنین آسیبی وارد شود یا جنین تلف شود، پزشک دارای مسئولیت کیفری است. در مورد مثال دوم نیز دکتر به دلیل عدم رعایت موازین فنی که چهره ای از تقصیر است، دارای مسئولیت قلمداد می شود و در مورد افسردگی مقاوم به درمان باید گفت، از آنجایی که مسئولیت پزشک، معالجه بیمار است نه تحقیق و پژوهش، تجویز</w:t>
      </w:r>
      <w:r w:rsidR="00F2782D">
        <w:rPr>
          <w:rFonts w:cs="B Nazanin"/>
          <w:lang w:bidi="fa-IR"/>
        </w:rPr>
        <w:t>SSRI</w:t>
      </w:r>
      <w:r w:rsidR="00F2782D">
        <w:rPr>
          <w:rFonts w:cs="B Nazanin" w:hint="cs"/>
          <w:rtl/>
          <w:lang w:bidi="fa-IR"/>
        </w:rPr>
        <w:t xml:space="preserve"> های جدید برای درمان با توجه به اینکه صرفاً این دسته از داروها در فاز تحقیق می باشند، تجویز آنها از نظر فنی و علمی محل اشکال است، می تواند برای پزشک مسئولیت حقوقی ایجاد کند. پزشک در چنین موارد صرفاً باید به رعایت استاندارد های مراقبتی اکتفا کند و از پژوهش و تحقیق</w:t>
      </w:r>
      <w:r w:rsidR="003867C5">
        <w:rPr>
          <w:rFonts w:cs="B Nazanin" w:hint="cs"/>
          <w:rtl/>
          <w:lang w:bidi="fa-IR"/>
        </w:rPr>
        <w:t xml:space="preserve"> بر روی بیماران خود در چنین داروهایی پرهیز کند.</w:t>
      </w:r>
    </w:p>
    <w:p w14:paraId="1BD545CA" w14:textId="1C381E5E" w:rsidR="001B6E20" w:rsidRDefault="00531DD4" w:rsidP="001D0E59">
      <w:pPr>
        <w:bidi/>
        <w:spacing w:after="0" w:line="240" w:lineRule="auto"/>
        <w:jc w:val="lowKashida"/>
        <w:outlineLvl w:val="0"/>
        <w:rPr>
          <w:rFonts w:cs="B Nazanin"/>
          <w:rtl/>
          <w:lang w:bidi="fa-IR"/>
        </w:rPr>
      </w:pPr>
      <w:r>
        <w:rPr>
          <w:rFonts w:cs="B Nazanin"/>
          <w:lang w:bidi="fa-IR"/>
        </w:rPr>
        <w:t xml:space="preserve"> </w:t>
      </w:r>
    </w:p>
    <w:p w14:paraId="0750B448" w14:textId="77777777" w:rsidR="00426451" w:rsidRDefault="00426451" w:rsidP="00426451">
      <w:pPr>
        <w:bidi/>
        <w:spacing w:after="0" w:line="240" w:lineRule="auto"/>
        <w:jc w:val="lowKashida"/>
        <w:outlineLvl w:val="0"/>
        <w:rPr>
          <w:rFonts w:cs="B Nazanin"/>
          <w:rtl/>
          <w:lang w:bidi="fa-IR"/>
        </w:rPr>
      </w:pPr>
    </w:p>
    <w:p w14:paraId="0C5AAE19" w14:textId="77777777" w:rsidR="00426451" w:rsidRDefault="00426451" w:rsidP="00426451">
      <w:pPr>
        <w:bidi/>
        <w:spacing w:after="0" w:line="240" w:lineRule="auto"/>
        <w:jc w:val="lowKashida"/>
        <w:outlineLvl w:val="0"/>
        <w:rPr>
          <w:rFonts w:cs="B Nazanin"/>
          <w:rtl/>
          <w:lang w:bidi="fa-IR"/>
        </w:rPr>
      </w:pPr>
    </w:p>
    <w:p w14:paraId="7753EF8B" w14:textId="6D654C2E" w:rsidR="006D238B" w:rsidRPr="006D238B" w:rsidRDefault="00426451" w:rsidP="006D238B">
      <w:pPr>
        <w:widowControl w:val="0"/>
        <w:autoSpaceDE w:val="0"/>
        <w:autoSpaceDN w:val="0"/>
        <w:adjustRightInd w:val="0"/>
        <w:spacing w:after="0" w:line="240" w:lineRule="auto"/>
        <w:ind w:left="480" w:hanging="480"/>
        <w:rPr>
          <w:rFonts w:ascii="Times New Roman" w:hAnsi="Times New Roman" w:cs="Times New Roman"/>
          <w:noProof/>
          <w:kern w:val="0"/>
        </w:rPr>
      </w:pPr>
      <w:r>
        <w:rPr>
          <w:rFonts w:cs="B Nazanin"/>
          <w:rtl/>
          <w:lang w:bidi="fa-IR"/>
        </w:rPr>
        <w:fldChar w:fldCharType="begin" w:fldLock="1"/>
      </w:r>
      <w:r>
        <w:rPr>
          <w:rFonts w:cs="B Nazanin"/>
          <w:rtl/>
          <w:lang w:bidi="fa-IR"/>
        </w:rPr>
        <w:instrText xml:space="preserve">ADDIN Mendeley Bibliography CSL_BIBLIOGRAPHY </w:instrText>
      </w:r>
      <w:r>
        <w:rPr>
          <w:rFonts w:cs="B Nazanin"/>
          <w:rtl/>
          <w:lang w:bidi="fa-IR"/>
        </w:rPr>
        <w:fldChar w:fldCharType="separate"/>
      </w:r>
      <w:r w:rsidR="006D238B" w:rsidRPr="006D238B">
        <w:rPr>
          <w:rFonts w:ascii="Times New Roman" w:hAnsi="Times New Roman" w:cs="Times New Roman"/>
          <w:noProof/>
          <w:kern w:val="0"/>
        </w:rPr>
        <w:t xml:space="preserve">Cipriani, A., Furukawa, T. A., Salanti, G., Chaimani, A., Atkinson, L. Z., Ogawa, Y., Leucht, S., Ruhe, H. G., Turner, E. H., Higgins, J. P. T., Egger, M., Takeshima, N., Hayasaka, Y., Imai, H., Shinohara, K., Tajika, A., Ioannidis, J. P. A., &amp; Geddes, J. R. (2018). Comparative efficacy and acceptability of 21 antidepressant drugs for the acute  treatment of adults with major depressive disorder: a systematic review and network meta-analysis. </w:t>
      </w:r>
      <w:r w:rsidR="006D238B" w:rsidRPr="006D238B">
        <w:rPr>
          <w:rFonts w:ascii="Times New Roman" w:hAnsi="Times New Roman" w:cs="Times New Roman"/>
          <w:i/>
          <w:iCs/>
          <w:noProof/>
          <w:kern w:val="0"/>
        </w:rPr>
        <w:t>Lancet (London, England)</w:t>
      </w:r>
      <w:r w:rsidR="006D238B" w:rsidRPr="006D238B">
        <w:rPr>
          <w:rFonts w:ascii="Times New Roman" w:hAnsi="Times New Roman" w:cs="Times New Roman"/>
          <w:noProof/>
          <w:kern w:val="0"/>
        </w:rPr>
        <w:t xml:space="preserve">, </w:t>
      </w:r>
      <w:r w:rsidR="006D238B" w:rsidRPr="006D238B">
        <w:rPr>
          <w:rFonts w:ascii="Times New Roman" w:hAnsi="Times New Roman" w:cs="Times New Roman"/>
          <w:i/>
          <w:iCs/>
          <w:noProof/>
          <w:kern w:val="0"/>
        </w:rPr>
        <w:t>391</w:t>
      </w:r>
      <w:r w:rsidR="006D238B" w:rsidRPr="006D238B">
        <w:rPr>
          <w:rFonts w:ascii="Times New Roman" w:hAnsi="Times New Roman" w:cs="Times New Roman"/>
          <w:noProof/>
          <w:kern w:val="0"/>
        </w:rPr>
        <w:t>(10128), 1357–1366. https://doi.org/10.1016/S0140-6736(17)32802-7</w:t>
      </w:r>
    </w:p>
    <w:p w14:paraId="6A19AB71"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Croatto, G., Vancampfort, D., Miola, A., Olivola, M., Fiedorowicz, J. G., Firth, J., Alexinschi, O., Gaina, M. A., Makkai, V., Soares, F. C., Cavaliere, L., Vianello, G., Stubbs, B., Fusar-Poli, P., Carvalho, A. F., Vieta, E., Cortese, S., Shin, J. Il, Correll, C. U., &amp; Solmi, M. (2023). The impact of pharmacological and non-pharmacological interventions on physical  health outcomes in people with mood disorders across the lifespan: An umbrella review of the evidence from randomised controlled trials. </w:t>
      </w:r>
      <w:r w:rsidRPr="006D238B">
        <w:rPr>
          <w:rFonts w:ascii="Times New Roman" w:hAnsi="Times New Roman" w:cs="Times New Roman"/>
          <w:i/>
          <w:iCs/>
          <w:noProof/>
          <w:kern w:val="0"/>
        </w:rPr>
        <w:t>Molecular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28</w:t>
      </w:r>
      <w:r w:rsidRPr="006D238B">
        <w:rPr>
          <w:rFonts w:ascii="Times New Roman" w:hAnsi="Times New Roman" w:cs="Times New Roman"/>
          <w:noProof/>
          <w:kern w:val="0"/>
        </w:rPr>
        <w:t>(1), 369–390. https://doi.org/10.1038/s41380-022-01770-w</w:t>
      </w:r>
    </w:p>
    <w:p w14:paraId="75D3094E"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Emslie, G. J., Kennard, B. D., Mayes, T. L., Nightingale-Teresi, J., Carmody, T., Hughes, C. W., Rush, A. J., Tao, R., &amp; Rintelmann, J. W. (2008). Fluoxetine versus placebo in preventing relapse of major depression in children  and adolescents. </w:t>
      </w:r>
      <w:r w:rsidRPr="006D238B">
        <w:rPr>
          <w:rFonts w:ascii="Times New Roman" w:hAnsi="Times New Roman" w:cs="Times New Roman"/>
          <w:i/>
          <w:iCs/>
          <w:noProof/>
          <w:kern w:val="0"/>
        </w:rPr>
        <w:t>The American Journal of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165</w:t>
      </w:r>
      <w:r w:rsidRPr="006D238B">
        <w:rPr>
          <w:rFonts w:ascii="Times New Roman" w:hAnsi="Times New Roman" w:cs="Times New Roman"/>
          <w:noProof/>
          <w:kern w:val="0"/>
        </w:rPr>
        <w:t>(4), 459–467. https://doi.org/10.1176/appi.ajp.2007.07091453</w:t>
      </w:r>
    </w:p>
    <w:p w14:paraId="3C18EDD2"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Figee, M., Riva-Posse, P., Choi, K. S., Bederson, L., Mayberg, H. S., &amp; Kopell, B. H. (2022). </w:t>
      </w:r>
      <w:r w:rsidRPr="006D238B">
        <w:rPr>
          <w:rFonts w:ascii="Times New Roman" w:hAnsi="Times New Roman" w:cs="Times New Roman"/>
          <w:noProof/>
          <w:kern w:val="0"/>
        </w:rPr>
        <w:lastRenderedPageBreak/>
        <w:t xml:space="preserve">Deep Brain Stimulation for Depression. </w:t>
      </w:r>
      <w:r w:rsidRPr="006D238B">
        <w:rPr>
          <w:rFonts w:ascii="Times New Roman" w:hAnsi="Times New Roman" w:cs="Times New Roman"/>
          <w:i/>
          <w:iCs/>
          <w:noProof/>
          <w:kern w:val="0"/>
        </w:rPr>
        <w:t>Neurotherapeutics : The Journal of the American Society for Experimental  NeuroTherapeutics</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19</w:t>
      </w:r>
      <w:r w:rsidRPr="006D238B">
        <w:rPr>
          <w:rFonts w:ascii="Times New Roman" w:hAnsi="Times New Roman" w:cs="Times New Roman"/>
          <w:noProof/>
          <w:kern w:val="0"/>
        </w:rPr>
        <w:t>(4), 1229–1245. https://doi.org/10.1007/s13311-022-01270-3</w:t>
      </w:r>
    </w:p>
    <w:p w14:paraId="23686E21"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Fournier, J. C., DeRubeis, R. J., Hollon, S. D., Dimidjian, S., Amsterdam, J. D., Shelton, R. C., &amp; Fawcett, J. (2010). Antidepressant drug effects and depression severity: a patient-level  meta-analysis. </w:t>
      </w:r>
      <w:r w:rsidRPr="006D238B">
        <w:rPr>
          <w:rFonts w:ascii="Times New Roman" w:hAnsi="Times New Roman" w:cs="Times New Roman"/>
          <w:i/>
          <w:iCs/>
          <w:noProof/>
          <w:kern w:val="0"/>
        </w:rPr>
        <w:t>JAMA</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303</w:t>
      </w:r>
      <w:r w:rsidRPr="006D238B">
        <w:rPr>
          <w:rFonts w:ascii="Times New Roman" w:hAnsi="Times New Roman" w:cs="Times New Roman"/>
          <w:noProof/>
          <w:kern w:val="0"/>
        </w:rPr>
        <w:t>(1), 47–53. https://doi.org/10.1001/jama.2009.1943</w:t>
      </w:r>
    </w:p>
    <w:p w14:paraId="78559D7C"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Gao, S.-Y., Wu, Q.-J., Sun, C., Zhang, T.-N., Shen, Z.-Q., Liu, C.-X., Gong, T.-T., Xu, X., Ji, C., Huang, D.-H., Chang, Q., &amp; Zhao, Y.-H. (2018). Selective serotonin reuptake inhibitor use during early pregnancy and congenital  malformations: a systematic review and meta-analysis of cohort studies of more than 9 million births. </w:t>
      </w:r>
      <w:r w:rsidRPr="006D238B">
        <w:rPr>
          <w:rFonts w:ascii="Times New Roman" w:hAnsi="Times New Roman" w:cs="Times New Roman"/>
          <w:i/>
          <w:iCs/>
          <w:noProof/>
          <w:kern w:val="0"/>
        </w:rPr>
        <w:t>BMC Medicine</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16</w:t>
      </w:r>
      <w:r w:rsidRPr="006D238B">
        <w:rPr>
          <w:rFonts w:ascii="Times New Roman" w:hAnsi="Times New Roman" w:cs="Times New Roman"/>
          <w:noProof/>
          <w:kern w:val="0"/>
        </w:rPr>
        <w:t>(1), 205. https://doi.org/10.1186/s12916-018-1193-5</w:t>
      </w:r>
    </w:p>
    <w:p w14:paraId="0787926A"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Gibbons, R. D., Hur, K., Brown, C. H., Davis, J. M., &amp; Mann, J. J. (2012). Benefits from antidepressants: synthesis of 6-week patient-level outcomes from  double-blind placebo-controlled randomized trials of fluoxetine and venlafaxine. </w:t>
      </w:r>
      <w:r w:rsidRPr="006D238B">
        <w:rPr>
          <w:rFonts w:ascii="Times New Roman" w:hAnsi="Times New Roman" w:cs="Times New Roman"/>
          <w:i/>
          <w:iCs/>
          <w:noProof/>
          <w:kern w:val="0"/>
        </w:rPr>
        <w:t>Archives of General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69</w:t>
      </w:r>
      <w:r w:rsidRPr="006D238B">
        <w:rPr>
          <w:rFonts w:ascii="Times New Roman" w:hAnsi="Times New Roman" w:cs="Times New Roman"/>
          <w:noProof/>
          <w:kern w:val="0"/>
        </w:rPr>
        <w:t>(6), 572–579. https://doi.org/10.1001/archgenpsychiatry.2011.2044</w:t>
      </w:r>
    </w:p>
    <w:p w14:paraId="7708A36D"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Goodwin, G. M., &amp; Stein, D. J. (2021). Generalised Anxiety Disorder and Depression: Contemporary Treatment Approaches. In </w:t>
      </w:r>
      <w:r w:rsidRPr="006D238B">
        <w:rPr>
          <w:rFonts w:ascii="Times New Roman" w:hAnsi="Times New Roman" w:cs="Times New Roman"/>
          <w:i/>
          <w:iCs/>
          <w:noProof/>
          <w:kern w:val="0"/>
        </w:rPr>
        <w:t>Advances in therapy</w:t>
      </w:r>
      <w:r w:rsidRPr="006D238B">
        <w:rPr>
          <w:rFonts w:ascii="Times New Roman" w:hAnsi="Times New Roman" w:cs="Times New Roman"/>
          <w:noProof/>
          <w:kern w:val="0"/>
        </w:rPr>
        <w:t xml:space="preserve"> (Vol. 38, Issue Suppl 2, pp. 45–51). https://doi.org/10.1007/s12325-021-01859-8</w:t>
      </w:r>
    </w:p>
    <w:p w14:paraId="21729246"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Jakobsen, J. C., Katakam, K. K., Schou, A., Hellmuth, S. G., Stallknecht, S. E., Leth-Møller, K., Iversen, M., Banke, M. B., Petersen, I. J., Klingenberg, S. L., Krogh, J., Ebert, S. E., Timm, A., Lindschou, J., &amp; Gluud, C. (2017). Selective serotonin reuptake inhibitors versus placebo in patients with major  depressive disorder. A systematic review with meta-analysis and Trial Sequential Analysis. </w:t>
      </w:r>
      <w:r w:rsidRPr="006D238B">
        <w:rPr>
          <w:rFonts w:ascii="Times New Roman" w:hAnsi="Times New Roman" w:cs="Times New Roman"/>
          <w:i/>
          <w:iCs/>
          <w:noProof/>
          <w:kern w:val="0"/>
        </w:rPr>
        <w:t>BMC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17</w:t>
      </w:r>
      <w:r w:rsidRPr="006D238B">
        <w:rPr>
          <w:rFonts w:ascii="Times New Roman" w:hAnsi="Times New Roman" w:cs="Times New Roman"/>
          <w:noProof/>
          <w:kern w:val="0"/>
        </w:rPr>
        <w:t>(1), 58. https://doi.org/10.1186/s12888-016-1173-2</w:t>
      </w:r>
    </w:p>
    <w:p w14:paraId="43623CB4"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Kirsch, I., Deacon, B. J., Huedo-Medina, T. B., Scoboria, A., Moore, T. J., &amp; Johnson, B. T. (2008). Initial severity and antidepressant benefits: a meta-analysis of data submitted  to the Food and Drug Administration. </w:t>
      </w:r>
      <w:r w:rsidRPr="006D238B">
        <w:rPr>
          <w:rFonts w:ascii="Times New Roman" w:hAnsi="Times New Roman" w:cs="Times New Roman"/>
          <w:i/>
          <w:iCs/>
          <w:noProof/>
          <w:kern w:val="0"/>
        </w:rPr>
        <w:t>PLoS Medicine</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5</w:t>
      </w:r>
      <w:r w:rsidRPr="006D238B">
        <w:rPr>
          <w:rFonts w:ascii="Times New Roman" w:hAnsi="Times New Roman" w:cs="Times New Roman"/>
          <w:noProof/>
          <w:kern w:val="0"/>
        </w:rPr>
        <w:t>(2), e45. https://doi.org/10.1371/journal.pmed.0050045</w:t>
      </w:r>
    </w:p>
    <w:p w14:paraId="2ABFA4DA"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LLoyd, E. C., Griffen, T., Wang, Y., Attia, E., &amp; Walsh, B. T. (2025). Fluoxetine for anorexia nervosa after weight restoration: moderation of effect by  depression. </w:t>
      </w:r>
      <w:r w:rsidRPr="006D238B">
        <w:rPr>
          <w:rFonts w:ascii="Times New Roman" w:hAnsi="Times New Roman" w:cs="Times New Roman"/>
          <w:i/>
          <w:iCs/>
          <w:noProof/>
          <w:kern w:val="0"/>
        </w:rPr>
        <w:t>Psychological Medicine</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55</w:t>
      </w:r>
      <w:r w:rsidRPr="006D238B">
        <w:rPr>
          <w:rFonts w:ascii="Times New Roman" w:hAnsi="Times New Roman" w:cs="Times New Roman"/>
          <w:noProof/>
          <w:kern w:val="0"/>
        </w:rPr>
        <w:t>, e290. https://doi.org/10.1017/S003329172510127X</w:t>
      </w:r>
    </w:p>
    <w:p w14:paraId="15240269"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Momen, N. C., Plana-Ripoll, O., Agerbo, E., Benros, M. E., Børglum, A. D., Christensen, M. K., Dalsgaard, S., Degenhardt, L., de Jonge, P., Debost, J.-C. P. G., Fenger-Grøn, M., Gunn, J. M., Iburg, K. M., Kessing, L. V, Kessler, R. C., Laursen, T. M., Lim, C. C. W., Mors, O., Mortensen, P. B., … McGrath, J. J. (2020). Association between Mental Disorders and Subsequent Medical Conditions. </w:t>
      </w:r>
      <w:r w:rsidRPr="006D238B">
        <w:rPr>
          <w:rFonts w:ascii="Times New Roman" w:hAnsi="Times New Roman" w:cs="Times New Roman"/>
          <w:i/>
          <w:iCs/>
          <w:noProof/>
          <w:kern w:val="0"/>
        </w:rPr>
        <w:t>The New England Journal of Medicine</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382</w:t>
      </w:r>
      <w:r w:rsidRPr="006D238B">
        <w:rPr>
          <w:rFonts w:ascii="Times New Roman" w:hAnsi="Times New Roman" w:cs="Times New Roman"/>
          <w:noProof/>
          <w:kern w:val="0"/>
        </w:rPr>
        <w:t>(18), 1721–1731. https://doi.org/10.1056/NEJMoa1915784</w:t>
      </w:r>
    </w:p>
    <w:p w14:paraId="217D2700"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Muraro, C., Dalla Tiezza, M., Pavan, C., Ribaudo, G., Zagotto, G., &amp; Orian, L. (2019). Major Depressive Disorder and Oxidative Stress: In Silico Investigation of Fluoxetine Activity against ROS. In </w:t>
      </w:r>
      <w:r w:rsidRPr="006D238B">
        <w:rPr>
          <w:rFonts w:ascii="Times New Roman" w:hAnsi="Times New Roman" w:cs="Times New Roman"/>
          <w:i/>
          <w:iCs/>
          <w:noProof/>
          <w:kern w:val="0"/>
        </w:rPr>
        <w:t>Applied Sciences</w:t>
      </w:r>
      <w:r w:rsidRPr="006D238B">
        <w:rPr>
          <w:rFonts w:ascii="Times New Roman" w:hAnsi="Times New Roman" w:cs="Times New Roman"/>
          <w:noProof/>
          <w:kern w:val="0"/>
        </w:rPr>
        <w:t xml:space="preserve"> (Vol. 9, Issue 17, p. 3631). https://doi.org/10.3390/app9173631</w:t>
      </w:r>
    </w:p>
    <w:p w14:paraId="594DEEF5"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Nuñez, N. A., Joseph, B., Pahwa, M., Kumar, R., Resendez, M. G., Prokop, L. J., Veldic, M., Seshadri, A., Biernacka, J. M., Frye, M. A., Wang, Z., &amp; Singh, B. (2022). Augmentation strategies for treatment resistant major depression: A systematic  review and network meta-analysis. </w:t>
      </w:r>
      <w:r w:rsidRPr="006D238B">
        <w:rPr>
          <w:rFonts w:ascii="Times New Roman" w:hAnsi="Times New Roman" w:cs="Times New Roman"/>
          <w:i/>
          <w:iCs/>
          <w:noProof/>
          <w:kern w:val="0"/>
        </w:rPr>
        <w:t>Journal of Affective Disorders</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302</w:t>
      </w:r>
      <w:r w:rsidRPr="006D238B">
        <w:rPr>
          <w:rFonts w:ascii="Times New Roman" w:hAnsi="Times New Roman" w:cs="Times New Roman"/>
          <w:noProof/>
          <w:kern w:val="0"/>
        </w:rPr>
        <w:t>, 385–400. https://doi.org/10.1016/j.jad.2021.12.134</w:t>
      </w:r>
    </w:p>
    <w:p w14:paraId="1DD5238B"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lastRenderedPageBreak/>
        <w:t xml:space="preserve">Rao, Y., Yang, R., Zhao, J., &amp; Cao, Q. (2022). Efficacy and tolerability of antidepressant drugs in treatment of depression in  children and adolescents: a network meta-analysis. </w:t>
      </w:r>
      <w:r w:rsidRPr="006D238B">
        <w:rPr>
          <w:rFonts w:ascii="Times New Roman" w:hAnsi="Times New Roman" w:cs="Times New Roman"/>
          <w:i/>
          <w:iCs/>
          <w:noProof/>
          <w:kern w:val="0"/>
        </w:rPr>
        <w:t>Zhejiang Da Xue Xue Bao. Yi Xue Ban = Journal of Zhejiang University. Medical  Sciences</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51</w:t>
      </w:r>
      <w:r w:rsidRPr="006D238B">
        <w:rPr>
          <w:rFonts w:ascii="Times New Roman" w:hAnsi="Times New Roman" w:cs="Times New Roman"/>
          <w:noProof/>
          <w:kern w:val="0"/>
        </w:rPr>
        <w:t>(4), 480–490. https://doi.org/10.3724/zdxbyxb-2022-0145</w:t>
      </w:r>
    </w:p>
    <w:p w14:paraId="14C14C9D"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Salian, H. H., Raghav, M. V, Rawat, V. S., &amp; Divakar, A. (2023). Cost‑minimization analysis of escitalopram, fluoxetine, and amitriptyline in the treatment of depression. </w:t>
      </w:r>
      <w:r w:rsidRPr="006D238B">
        <w:rPr>
          <w:rFonts w:ascii="Times New Roman" w:hAnsi="Times New Roman" w:cs="Times New Roman"/>
          <w:i/>
          <w:iCs/>
          <w:noProof/>
          <w:kern w:val="0"/>
        </w:rPr>
        <w:t>Indian Journal of Pharmacology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55</w:t>
      </w:r>
      <w:r w:rsidRPr="006D238B">
        <w:rPr>
          <w:rFonts w:ascii="Times New Roman" w:hAnsi="Times New Roman" w:cs="Times New Roman"/>
          <w:noProof/>
          <w:kern w:val="0"/>
        </w:rPr>
        <w:t>(5), 293–298. https://doi.org/10.4103/ijp.ijp_854_22</w:t>
      </w:r>
    </w:p>
    <w:p w14:paraId="56A4D097"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Son, S. E., &amp; Kirchner, J. T. (2000). Depression in children and adolescents. </w:t>
      </w:r>
      <w:r w:rsidRPr="006D238B">
        <w:rPr>
          <w:rFonts w:ascii="Times New Roman" w:hAnsi="Times New Roman" w:cs="Times New Roman"/>
          <w:i/>
          <w:iCs/>
          <w:noProof/>
          <w:kern w:val="0"/>
        </w:rPr>
        <w:t>American Family Physician</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62</w:t>
      </w:r>
      <w:r w:rsidRPr="006D238B">
        <w:rPr>
          <w:rFonts w:ascii="Times New Roman" w:hAnsi="Times New Roman" w:cs="Times New Roman"/>
          <w:noProof/>
          <w:kern w:val="0"/>
        </w:rPr>
        <w:t>(10), 2297-2308,2311-2312.</w:t>
      </w:r>
    </w:p>
    <w:p w14:paraId="0BE31B7B"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Swetlitz, N. (2021). Depression’s Problem With Men. </w:t>
      </w:r>
      <w:r w:rsidRPr="006D238B">
        <w:rPr>
          <w:rFonts w:ascii="Times New Roman" w:hAnsi="Times New Roman" w:cs="Times New Roman"/>
          <w:i/>
          <w:iCs/>
          <w:noProof/>
          <w:kern w:val="0"/>
        </w:rPr>
        <w:t>AMA Journal of Ethics</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23</w:t>
      </w:r>
      <w:r w:rsidRPr="006D238B">
        <w:rPr>
          <w:rFonts w:ascii="Times New Roman" w:hAnsi="Times New Roman" w:cs="Times New Roman"/>
          <w:noProof/>
          <w:kern w:val="0"/>
        </w:rPr>
        <w:t>(7), E586-589. https://doi.org/10.1001/amajethics.2021.586</w:t>
      </w:r>
    </w:p>
    <w:p w14:paraId="22A2035E"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Tse, J. S. Y., &amp; Haslam, N. (2023). What is a mental disorder? Evaluating the lay concept of Mental Ill Health in the  United States. </w:t>
      </w:r>
      <w:r w:rsidRPr="006D238B">
        <w:rPr>
          <w:rFonts w:ascii="Times New Roman" w:hAnsi="Times New Roman" w:cs="Times New Roman"/>
          <w:i/>
          <w:iCs/>
          <w:noProof/>
          <w:kern w:val="0"/>
        </w:rPr>
        <w:t>BMC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23</w:t>
      </w:r>
      <w:r w:rsidRPr="006D238B">
        <w:rPr>
          <w:rFonts w:ascii="Times New Roman" w:hAnsi="Times New Roman" w:cs="Times New Roman"/>
          <w:noProof/>
          <w:kern w:val="0"/>
        </w:rPr>
        <w:t>(1), 224. https://doi.org/10.1186/s12888-023-04680-5</w:t>
      </w:r>
    </w:p>
    <w:p w14:paraId="3C680424"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Pr>
        <w:t xml:space="preserve">Zhou, X., Teng, T., Zhang, Y., Del Giovane, C., Furukawa, T. A., Weisz, J. R., Li, X., Cuijpers, P., Coghill, D., Xiang, Y., Hetrick, S. E., Leucht, S., Qin, M., Barth, J., Ravindran, A. V, Yang, L., Curry, J., Fan, L., Silva, S. G., … Xie, P. (2020). Comparative efficacy and acceptability of antidepressants, psychotherapies, and  their combination for acute treatment of children and adolescents with depressive disorder: a systematic review and network meta-analysis. </w:t>
      </w:r>
      <w:r w:rsidRPr="006D238B">
        <w:rPr>
          <w:rFonts w:ascii="Times New Roman" w:hAnsi="Times New Roman" w:cs="Times New Roman"/>
          <w:i/>
          <w:iCs/>
          <w:noProof/>
          <w:kern w:val="0"/>
        </w:rPr>
        <w:t>The Lancet. Psychiatry</w:t>
      </w:r>
      <w:r w:rsidRPr="006D238B">
        <w:rPr>
          <w:rFonts w:ascii="Times New Roman" w:hAnsi="Times New Roman" w:cs="Times New Roman"/>
          <w:noProof/>
          <w:kern w:val="0"/>
        </w:rPr>
        <w:t xml:space="preserve">, </w:t>
      </w:r>
      <w:r w:rsidRPr="006D238B">
        <w:rPr>
          <w:rFonts w:ascii="Times New Roman" w:hAnsi="Times New Roman" w:cs="Times New Roman"/>
          <w:i/>
          <w:iCs/>
          <w:noProof/>
          <w:kern w:val="0"/>
        </w:rPr>
        <w:t>7</w:t>
      </w:r>
      <w:r w:rsidRPr="006D238B">
        <w:rPr>
          <w:rFonts w:ascii="Times New Roman" w:hAnsi="Times New Roman" w:cs="Times New Roman"/>
          <w:noProof/>
          <w:kern w:val="0"/>
        </w:rPr>
        <w:t>(7), 581–601. https://doi.org/10.1016/S2215-0366(20)30137-1</w:t>
      </w:r>
    </w:p>
    <w:p w14:paraId="7D73AE7E"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افراسیاب, م. (1402). </w:t>
      </w:r>
      <w:r w:rsidRPr="006D238B">
        <w:rPr>
          <w:rFonts w:ascii="Times New Roman" w:hAnsi="Times New Roman" w:cs="Times New Roman"/>
          <w:i/>
          <w:iCs/>
          <w:noProof/>
          <w:kern w:val="0"/>
          <w:rtl/>
          <w:lang w:bidi="fa-IR"/>
        </w:rPr>
        <w:t>جرايم پزشکی , دارویی و غذایی</w:t>
      </w:r>
      <w:r w:rsidRPr="006D238B">
        <w:rPr>
          <w:rFonts w:ascii="Times New Roman" w:hAnsi="Times New Roman" w:cs="Times New Roman"/>
          <w:noProof/>
          <w:kern w:val="0"/>
        </w:rPr>
        <w:t xml:space="preserve"> (6th ed.).</w:t>
      </w:r>
    </w:p>
    <w:p w14:paraId="59FA1AAC"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حاجی‌نوری,  ‌غلامرضا. (1394). نگرشی تطبیقی بر مفهوم معیار تقصیر پزشک. </w:t>
      </w:r>
      <w:r w:rsidRPr="006D238B">
        <w:rPr>
          <w:rFonts w:ascii="Times New Roman" w:hAnsi="Times New Roman" w:cs="Times New Roman"/>
          <w:i/>
          <w:iCs/>
          <w:noProof/>
          <w:kern w:val="0"/>
          <w:rtl/>
          <w:lang w:bidi="fa-IR"/>
        </w:rPr>
        <w:t>پژوهش حقوق خصوصی</w:t>
      </w:r>
      <w:r w:rsidRPr="006D238B">
        <w:rPr>
          <w:rFonts w:ascii="Times New Roman" w:hAnsi="Times New Roman" w:cs="Times New Roman"/>
          <w:noProof/>
          <w:kern w:val="0"/>
          <w:rtl/>
          <w:lang w:bidi="fa-IR"/>
        </w:rPr>
        <w:t xml:space="preserve">, </w:t>
      </w:r>
      <w:r w:rsidRPr="006D238B">
        <w:rPr>
          <w:rFonts w:ascii="Times New Roman" w:hAnsi="Times New Roman" w:cs="Times New Roman"/>
          <w:i/>
          <w:iCs/>
          <w:noProof/>
          <w:kern w:val="0"/>
          <w:rtl/>
          <w:lang w:bidi="fa-IR"/>
        </w:rPr>
        <w:t>11</w:t>
      </w:r>
      <w:r w:rsidRPr="006D238B">
        <w:rPr>
          <w:rFonts w:ascii="Times New Roman" w:hAnsi="Times New Roman" w:cs="Times New Roman"/>
          <w:noProof/>
          <w:kern w:val="0"/>
          <w:rtl/>
          <w:lang w:bidi="fa-IR"/>
        </w:rPr>
        <w:t>(3), 9–36</w:t>
      </w:r>
      <w:r w:rsidRPr="006D238B">
        <w:rPr>
          <w:rFonts w:ascii="Times New Roman" w:hAnsi="Times New Roman" w:cs="Times New Roman"/>
          <w:noProof/>
          <w:kern w:val="0"/>
        </w:rPr>
        <w:t>. https://www.noormags.ir/view/fa/articlepage/1134276</w:t>
      </w:r>
    </w:p>
    <w:p w14:paraId="6ADE1EE9"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داماد, م. (1391). </w:t>
      </w:r>
      <w:r w:rsidRPr="006D238B">
        <w:rPr>
          <w:rFonts w:ascii="Times New Roman" w:hAnsi="Times New Roman" w:cs="Times New Roman"/>
          <w:i/>
          <w:iCs/>
          <w:noProof/>
          <w:kern w:val="0"/>
          <w:rtl/>
          <w:lang w:bidi="fa-IR"/>
        </w:rPr>
        <w:t>قواعد فقه مدنی</w:t>
      </w:r>
      <w:r w:rsidRPr="006D238B">
        <w:rPr>
          <w:rFonts w:ascii="Times New Roman" w:hAnsi="Times New Roman" w:cs="Times New Roman"/>
          <w:noProof/>
          <w:kern w:val="0"/>
        </w:rPr>
        <w:t xml:space="preserve"> (35th ed.).</w:t>
      </w:r>
    </w:p>
    <w:p w14:paraId="6654B618"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رضا, ح. م. (1400). </w:t>
      </w:r>
      <w:r w:rsidRPr="006D238B">
        <w:rPr>
          <w:rFonts w:ascii="Times New Roman" w:hAnsi="Times New Roman" w:cs="Times New Roman"/>
          <w:i/>
          <w:iCs/>
          <w:noProof/>
          <w:kern w:val="0"/>
          <w:rtl/>
          <w:lang w:bidi="fa-IR"/>
        </w:rPr>
        <w:t>کتاب حقوق پزشکی</w:t>
      </w:r>
      <w:r w:rsidRPr="006D238B">
        <w:rPr>
          <w:rFonts w:ascii="Times New Roman" w:hAnsi="Times New Roman" w:cs="Times New Roman"/>
          <w:noProof/>
          <w:kern w:val="0"/>
        </w:rPr>
        <w:t xml:space="preserve"> (1st ed.).</w:t>
      </w:r>
    </w:p>
    <w:p w14:paraId="5ADAB4D2"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صفایی,  ‌سیدحسین. (1390). مبانی مسئولیت مدنی پزشک. </w:t>
      </w:r>
      <w:r w:rsidRPr="006D238B">
        <w:rPr>
          <w:rFonts w:ascii="Times New Roman" w:hAnsi="Times New Roman" w:cs="Times New Roman"/>
          <w:i/>
          <w:iCs/>
          <w:noProof/>
          <w:kern w:val="0"/>
          <w:rtl/>
          <w:lang w:bidi="fa-IR"/>
        </w:rPr>
        <w:t>بزرگداشت استاد زنده یاد دکتر ابوالقاسم گرجی</w:t>
      </w:r>
      <w:r w:rsidRPr="006D238B">
        <w:rPr>
          <w:rFonts w:ascii="Times New Roman" w:hAnsi="Times New Roman" w:cs="Times New Roman"/>
          <w:noProof/>
          <w:kern w:val="0"/>
          <w:rtl/>
          <w:lang w:bidi="fa-IR"/>
        </w:rPr>
        <w:t xml:space="preserve">, </w:t>
      </w:r>
      <w:r w:rsidRPr="006D238B">
        <w:rPr>
          <w:rFonts w:ascii="Times New Roman" w:hAnsi="Times New Roman" w:cs="Times New Roman"/>
          <w:i/>
          <w:iCs/>
          <w:noProof/>
          <w:kern w:val="0"/>
          <w:rtl/>
          <w:lang w:bidi="fa-IR"/>
        </w:rPr>
        <w:t>1</w:t>
      </w:r>
      <w:r w:rsidRPr="006D238B">
        <w:rPr>
          <w:rFonts w:ascii="Times New Roman" w:hAnsi="Times New Roman" w:cs="Times New Roman"/>
          <w:noProof/>
          <w:kern w:val="0"/>
          <w:rtl/>
          <w:lang w:bidi="fa-IR"/>
        </w:rPr>
        <w:t>(1), 414–433</w:t>
      </w:r>
      <w:r w:rsidRPr="006D238B">
        <w:rPr>
          <w:rFonts w:ascii="Times New Roman" w:hAnsi="Times New Roman" w:cs="Times New Roman"/>
          <w:noProof/>
          <w:kern w:val="0"/>
        </w:rPr>
        <w:t>. https://www.noormags.ir/view/fa/articlepage/1729030</w:t>
      </w:r>
    </w:p>
    <w:p w14:paraId="1357D108"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kern w:val="0"/>
        </w:rPr>
      </w:pPr>
      <w:r w:rsidRPr="006D238B">
        <w:rPr>
          <w:rFonts w:ascii="Times New Roman" w:hAnsi="Times New Roman" w:cs="Times New Roman"/>
          <w:noProof/>
          <w:kern w:val="0"/>
          <w:rtl/>
          <w:lang w:bidi="fa-IR"/>
        </w:rPr>
        <w:t xml:space="preserve">منش, د. م. ر. ا. (1398). </w:t>
      </w:r>
      <w:r w:rsidRPr="006D238B">
        <w:rPr>
          <w:rFonts w:ascii="Times New Roman" w:hAnsi="Times New Roman" w:cs="Times New Roman"/>
          <w:i/>
          <w:iCs/>
          <w:noProof/>
          <w:kern w:val="0"/>
          <w:rtl/>
          <w:lang w:bidi="fa-IR"/>
        </w:rPr>
        <w:t>حقوق کیفری و تخلفات پزشکی</w:t>
      </w:r>
      <w:r w:rsidRPr="006D238B">
        <w:rPr>
          <w:rFonts w:ascii="Times New Roman" w:hAnsi="Times New Roman" w:cs="Times New Roman"/>
          <w:noProof/>
          <w:kern w:val="0"/>
        </w:rPr>
        <w:t xml:space="preserve"> (6th ed.).</w:t>
      </w:r>
    </w:p>
    <w:p w14:paraId="2AFAD33C" w14:textId="77777777" w:rsidR="006D238B" w:rsidRPr="006D238B" w:rsidRDefault="006D238B" w:rsidP="006D238B">
      <w:pPr>
        <w:widowControl w:val="0"/>
        <w:autoSpaceDE w:val="0"/>
        <w:autoSpaceDN w:val="0"/>
        <w:adjustRightInd w:val="0"/>
        <w:spacing w:after="0" w:line="240" w:lineRule="auto"/>
        <w:ind w:left="480" w:hanging="480"/>
        <w:rPr>
          <w:rFonts w:ascii="Times New Roman" w:hAnsi="Times New Roman" w:cs="Times New Roman"/>
          <w:noProof/>
        </w:rPr>
      </w:pPr>
      <w:r w:rsidRPr="006D238B">
        <w:rPr>
          <w:rFonts w:ascii="Times New Roman" w:hAnsi="Times New Roman" w:cs="Times New Roman"/>
          <w:noProof/>
          <w:kern w:val="0"/>
          <w:rtl/>
          <w:lang w:bidi="fa-IR"/>
        </w:rPr>
        <w:t xml:space="preserve">نجفی, م. (1277). </w:t>
      </w:r>
      <w:r w:rsidRPr="006D238B">
        <w:rPr>
          <w:rFonts w:ascii="Times New Roman" w:hAnsi="Times New Roman" w:cs="Times New Roman"/>
          <w:i/>
          <w:iCs/>
          <w:noProof/>
          <w:kern w:val="0"/>
          <w:rtl/>
          <w:lang w:bidi="fa-IR"/>
        </w:rPr>
        <w:t>جواهر الكلام في شرح شرائع الإسلام</w:t>
      </w:r>
      <w:r w:rsidRPr="006D238B">
        <w:rPr>
          <w:rFonts w:ascii="Times New Roman" w:hAnsi="Times New Roman" w:cs="Times New Roman"/>
          <w:noProof/>
          <w:kern w:val="0"/>
        </w:rPr>
        <w:t xml:space="preserve"> (7th ed.).</w:t>
      </w:r>
    </w:p>
    <w:p w14:paraId="5AFAAD3D" w14:textId="5911DBDF" w:rsidR="00426451" w:rsidRDefault="00426451" w:rsidP="00426451">
      <w:pPr>
        <w:bidi/>
        <w:spacing w:after="0" w:line="240" w:lineRule="auto"/>
        <w:jc w:val="lowKashida"/>
        <w:outlineLvl w:val="0"/>
        <w:rPr>
          <w:rFonts w:cs="B Nazanin"/>
          <w:rtl/>
          <w:lang w:bidi="fa-IR"/>
        </w:rPr>
      </w:pPr>
      <w:r>
        <w:rPr>
          <w:rFonts w:cs="B Nazanin"/>
          <w:rtl/>
          <w:lang w:bidi="fa-IR"/>
        </w:rPr>
        <w:fldChar w:fldCharType="end"/>
      </w:r>
    </w:p>
    <w:p w14:paraId="4C137E8E" w14:textId="77777777" w:rsidR="00921B33" w:rsidRDefault="00921B33" w:rsidP="00921B33">
      <w:pPr>
        <w:bidi/>
        <w:spacing w:after="0" w:line="240" w:lineRule="auto"/>
        <w:jc w:val="lowKashida"/>
        <w:outlineLvl w:val="0"/>
        <w:rPr>
          <w:rFonts w:cs="B Nazanin"/>
          <w:rtl/>
          <w:lang w:bidi="fa-IR"/>
        </w:rPr>
      </w:pPr>
    </w:p>
    <w:p w14:paraId="29134E64" w14:textId="77777777" w:rsidR="00921B33" w:rsidRDefault="00921B33" w:rsidP="00921B33">
      <w:pPr>
        <w:bidi/>
        <w:spacing w:after="0" w:line="240" w:lineRule="auto"/>
        <w:jc w:val="lowKashida"/>
        <w:outlineLvl w:val="0"/>
        <w:rPr>
          <w:rFonts w:cs="B Nazanin"/>
          <w:rtl/>
          <w:lang w:bidi="fa-IR"/>
        </w:rPr>
      </w:pPr>
    </w:p>
    <w:p w14:paraId="47594ED0" w14:textId="77777777" w:rsidR="00921B33" w:rsidRDefault="00921B33" w:rsidP="00921B33">
      <w:pPr>
        <w:bidi/>
        <w:spacing w:after="0" w:line="240" w:lineRule="auto"/>
        <w:jc w:val="lowKashida"/>
        <w:outlineLvl w:val="0"/>
        <w:rPr>
          <w:rFonts w:cs="B Nazanin"/>
          <w:rtl/>
          <w:lang w:bidi="fa-IR"/>
        </w:rPr>
      </w:pPr>
    </w:p>
    <w:p w14:paraId="27DA181C" w14:textId="77777777" w:rsidR="00921B33" w:rsidRDefault="00921B33" w:rsidP="00921B33">
      <w:pPr>
        <w:bidi/>
        <w:spacing w:after="0" w:line="240" w:lineRule="auto"/>
        <w:jc w:val="lowKashida"/>
        <w:outlineLvl w:val="0"/>
        <w:rPr>
          <w:rFonts w:cs="B Nazanin"/>
          <w:rtl/>
          <w:lang w:bidi="fa-IR"/>
        </w:rPr>
      </w:pPr>
    </w:p>
    <w:p w14:paraId="1ACB416E" w14:textId="77777777" w:rsidR="006D1DB1" w:rsidRDefault="006D1DB1" w:rsidP="004D48B7">
      <w:pPr>
        <w:bidi/>
        <w:spacing w:after="0" w:line="240" w:lineRule="auto"/>
        <w:jc w:val="center"/>
        <w:outlineLvl w:val="0"/>
        <w:rPr>
          <w:rFonts w:asciiTheme="majorBidi" w:hAnsiTheme="majorBidi" w:cstheme="majorBidi"/>
          <w:sz w:val="28"/>
          <w:szCs w:val="28"/>
          <w:lang w:bidi="fa-IR"/>
        </w:rPr>
      </w:pPr>
    </w:p>
    <w:p w14:paraId="65F0808F"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27382525"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009E2E36"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1AFFC8E4"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323028C4"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0B0A567B"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0DDE35FB"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6F6D177F"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63AEF375"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364D5A48"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59FABFDE"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1A0F0063"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12D6EA41"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510A3BB6"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201308E5" w14:textId="77777777" w:rsidR="006D1DB1" w:rsidRDefault="006D1DB1" w:rsidP="006D1DB1">
      <w:pPr>
        <w:bidi/>
        <w:spacing w:after="0" w:line="240" w:lineRule="auto"/>
        <w:jc w:val="center"/>
        <w:outlineLvl w:val="0"/>
        <w:rPr>
          <w:rFonts w:asciiTheme="majorBidi" w:hAnsiTheme="majorBidi" w:cstheme="majorBidi"/>
          <w:sz w:val="28"/>
          <w:szCs w:val="28"/>
          <w:lang w:bidi="fa-IR"/>
        </w:rPr>
      </w:pPr>
    </w:p>
    <w:p w14:paraId="2BF6100B" w14:textId="10A1890A" w:rsidR="00921B33" w:rsidRDefault="004D48B7" w:rsidP="006D1DB1">
      <w:pPr>
        <w:bidi/>
        <w:spacing w:after="0" w:line="240" w:lineRule="auto"/>
        <w:jc w:val="center"/>
        <w:outlineLvl w:val="0"/>
        <w:rPr>
          <w:rFonts w:asciiTheme="majorBidi" w:hAnsiTheme="majorBidi" w:cstheme="majorBidi"/>
          <w:sz w:val="28"/>
          <w:szCs w:val="28"/>
          <w:lang w:bidi="fa-IR"/>
        </w:rPr>
      </w:pPr>
      <w:r w:rsidRPr="004D48B7">
        <w:rPr>
          <w:rFonts w:asciiTheme="majorBidi" w:hAnsiTheme="majorBidi" w:cstheme="majorBidi"/>
          <w:sz w:val="28"/>
          <w:szCs w:val="28"/>
          <w:lang w:bidi="fa-IR"/>
        </w:rPr>
        <w:t>Liability of Psychiatrists Arising from the Prescription of Fluoxetine for Depression</w:t>
      </w:r>
    </w:p>
    <w:p w14:paraId="0BB89D70" w14:textId="77777777" w:rsidR="00FD5272" w:rsidRDefault="00FD5272" w:rsidP="00FD5272">
      <w:pPr>
        <w:bidi/>
        <w:spacing w:after="0" w:line="240" w:lineRule="auto"/>
        <w:jc w:val="center"/>
        <w:outlineLvl w:val="0"/>
        <w:rPr>
          <w:rFonts w:asciiTheme="majorBidi" w:hAnsiTheme="majorBidi" w:cstheme="majorBidi"/>
          <w:sz w:val="20"/>
          <w:szCs w:val="20"/>
          <w:rtl/>
          <w:lang w:bidi="fa-IR"/>
        </w:rPr>
      </w:pPr>
    </w:p>
    <w:p w14:paraId="027DAA51" w14:textId="307DD952" w:rsidR="00FD5272" w:rsidRPr="006A2061" w:rsidRDefault="00FD5272" w:rsidP="00FD5272">
      <w:pPr>
        <w:bidi/>
        <w:spacing w:after="0" w:line="240" w:lineRule="auto"/>
        <w:jc w:val="center"/>
        <w:outlineLvl w:val="0"/>
        <w:rPr>
          <w:rFonts w:asciiTheme="majorBidi" w:hAnsiTheme="majorBidi" w:cstheme="majorBidi"/>
          <w:b/>
          <w:bCs/>
          <w:sz w:val="20"/>
          <w:szCs w:val="20"/>
          <w:lang w:bidi="fa-IR"/>
        </w:rPr>
      </w:pPr>
      <w:r w:rsidRPr="006A2061">
        <w:rPr>
          <w:rFonts w:asciiTheme="majorBidi" w:hAnsiTheme="majorBidi" w:cstheme="majorBidi"/>
          <w:b/>
          <w:bCs/>
          <w:sz w:val="20"/>
          <w:szCs w:val="20"/>
          <w:lang w:bidi="fa-IR"/>
        </w:rPr>
        <w:t xml:space="preserve">Yashar </w:t>
      </w:r>
      <w:proofErr w:type="spellStart"/>
      <w:r w:rsidRPr="006A2061">
        <w:rPr>
          <w:rFonts w:asciiTheme="majorBidi" w:hAnsiTheme="majorBidi" w:cstheme="majorBidi"/>
          <w:b/>
          <w:bCs/>
          <w:sz w:val="20"/>
          <w:szCs w:val="20"/>
          <w:lang w:bidi="fa-IR"/>
        </w:rPr>
        <w:t>Rajaee</w:t>
      </w:r>
      <w:proofErr w:type="spellEnd"/>
    </w:p>
    <w:p w14:paraId="4A16E7E1" w14:textId="18BE70DD" w:rsidR="00FD5272" w:rsidRPr="00FD5272" w:rsidRDefault="00FD5272" w:rsidP="00FD5272">
      <w:pPr>
        <w:bidi/>
        <w:spacing w:after="0" w:line="240" w:lineRule="auto"/>
        <w:jc w:val="center"/>
        <w:outlineLvl w:val="0"/>
        <w:rPr>
          <w:rFonts w:asciiTheme="majorBidi" w:hAnsiTheme="majorBidi" w:cstheme="majorBidi"/>
          <w:sz w:val="16"/>
          <w:szCs w:val="16"/>
          <w:lang w:bidi="fa-IR"/>
        </w:rPr>
      </w:pPr>
      <w:r w:rsidRPr="00FD5272">
        <w:rPr>
          <w:rFonts w:asciiTheme="majorBidi" w:hAnsiTheme="majorBidi" w:cstheme="majorBidi"/>
          <w:sz w:val="16"/>
          <w:szCs w:val="16"/>
          <w:lang w:bidi="fa-IR"/>
        </w:rPr>
        <w:t>Master's student in Medical Law, Islamic Azad University, Medical Sciences Branch, Tehran, Iran</w:t>
      </w:r>
    </w:p>
    <w:p w14:paraId="5330DEE4" w14:textId="7C618D3B" w:rsidR="00FD5272" w:rsidRPr="006A2061" w:rsidRDefault="00FD5272" w:rsidP="00FD5272">
      <w:pPr>
        <w:bidi/>
        <w:spacing w:after="0" w:line="240" w:lineRule="auto"/>
        <w:jc w:val="center"/>
        <w:outlineLvl w:val="0"/>
        <w:rPr>
          <w:rFonts w:asciiTheme="majorBidi" w:hAnsiTheme="majorBidi" w:cstheme="majorBidi"/>
          <w:b/>
          <w:bCs/>
          <w:sz w:val="20"/>
          <w:szCs w:val="20"/>
          <w:lang w:bidi="fa-IR"/>
        </w:rPr>
      </w:pPr>
      <w:proofErr w:type="spellStart"/>
      <w:r w:rsidRPr="006A2061">
        <w:rPr>
          <w:rFonts w:asciiTheme="majorBidi" w:hAnsiTheme="majorBidi" w:cstheme="majorBidi"/>
          <w:b/>
          <w:bCs/>
          <w:sz w:val="20"/>
          <w:szCs w:val="20"/>
          <w:lang w:bidi="fa-IR"/>
        </w:rPr>
        <w:t>Seyed</w:t>
      </w:r>
      <w:proofErr w:type="spellEnd"/>
      <w:r w:rsidRPr="006A2061">
        <w:rPr>
          <w:rFonts w:asciiTheme="majorBidi" w:hAnsiTheme="majorBidi" w:cstheme="majorBidi"/>
          <w:b/>
          <w:bCs/>
          <w:sz w:val="20"/>
          <w:szCs w:val="20"/>
          <w:lang w:bidi="fa-IR"/>
        </w:rPr>
        <w:t xml:space="preserve"> Ali Jafari</w:t>
      </w:r>
    </w:p>
    <w:p w14:paraId="0E7308A0" w14:textId="1017CC4F" w:rsidR="00FD5272" w:rsidRPr="00FD5272" w:rsidRDefault="00FD5272" w:rsidP="00FD5272">
      <w:pPr>
        <w:bidi/>
        <w:spacing w:after="0" w:line="240" w:lineRule="auto"/>
        <w:jc w:val="center"/>
        <w:outlineLvl w:val="0"/>
        <w:rPr>
          <w:rFonts w:asciiTheme="majorBidi" w:hAnsiTheme="majorBidi" w:cstheme="majorBidi"/>
          <w:sz w:val="16"/>
          <w:szCs w:val="16"/>
          <w:lang w:bidi="fa-IR"/>
        </w:rPr>
      </w:pPr>
      <w:r w:rsidRPr="00FD5272">
        <w:rPr>
          <w:rFonts w:asciiTheme="majorBidi" w:hAnsiTheme="majorBidi" w:cstheme="majorBidi"/>
          <w:sz w:val="16"/>
          <w:szCs w:val="16"/>
          <w:lang w:bidi="fa-IR"/>
        </w:rPr>
        <w:t>Master's student in Medical Law, Islamic Azad University, Medical Sciences Branch, Tehran, Iran</w:t>
      </w:r>
    </w:p>
    <w:p w14:paraId="28778E6F" w14:textId="3AA25379" w:rsidR="00FD5272" w:rsidRPr="006A2061" w:rsidRDefault="00FD5272" w:rsidP="00FD5272">
      <w:pPr>
        <w:bidi/>
        <w:spacing w:after="0" w:line="240" w:lineRule="auto"/>
        <w:jc w:val="center"/>
        <w:outlineLvl w:val="0"/>
        <w:rPr>
          <w:rFonts w:asciiTheme="majorBidi" w:hAnsiTheme="majorBidi" w:cstheme="majorBidi"/>
          <w:b/>
          <w:bCs/>
          <w:sz w:val="20"/>
          <w:szCs w:val="20"/>
          <w:lang w:bidi="fa-IR"/>
        </w:rPr>
      </w:pPr>
      <w:r w:rsidRPr="006A2061">
        <w:rPr>
          <w:rFonts w:asciiTheme="majorBidi" w:hAnsiTheme="majorBidi" w:cstheme="majorBidi"/>
          <w:b/>
          <w:bCs/>
          <w:sz w:val="20"/>
          <w:szCs w:val="20"/>
          <w:lang w:bidi="fa-IR"/>
        </w:rPr>
        <w:t xml:space="preserve">Ayda </w:t>
      </w:r>
      <w:proofErr w:type="spellStart"/>
      <w:r w:rsidRPr="006A2061">
        <w:rPr>
          <w:rFonts w:asciiTheme="majorBidi" w:hAnsiTheme="majorBidi" w:cstheme="majorBidi"/>
          <w:b/>
          <w:bCs/>
          <w:sz w:val="20"/>
          <w:szCs w:val="20"/>
          <w:lang w:bidi="fa-IR"/>
        </w:rPr>
        <w:t>Seyed</w:t>
      </w:r>
      <w:proofErr w:type="spellEnd"/>
      <w:r w:rsidRPr="006A2061">
        <w:rPr>
          <w:rFonts w:asciiTheme="majorBidi" w:hAnsiTheme="majorBidi" w:cstheme="majorBidi"/>
          <w:b/>
          <w:bCs/>
          <w:sz w:val="20"/>
          <w:szCs w:val="20"/>
          <w:lang w:bidi="fa-IR"/>
        </w:rPr>
        <w:t xml:space="preserve"> </w:t>
      </w:r>
      <w:proofErr w:type="spellStart"/>
      <w:r w:rsidRPr="006A2061">
        <w:rPr>
          <w:rFonts w:asciiTheme="majorBidi" w:hAnsiTheme="majorBidi" w:cstheme="majorBidi"/>
          <w:b/>
          <w:bCs/>
          <w:sz w:val="20"/>
          <w:szCs w:val="20"/>
          <w:lang w:bidi="fa-IR"/>
        </w:rPr>
        <w:t>Noormand</w:t>
      </w:r>
      <w:proofErr w:type="spellEnd"/>
      <w:r w:rsidRPr="006A2061">
        <w:rPr>
          <w:rFonts w:asciiTheme="majorBidi" w:hAnsiTheme="majorBidi" w:cstheme="majorBidi"/>
          <w:b/>
          <w:bCs/>
          <w:sz w:val="20"/>
          <w:szCs w:val="20"/>
          <w:lang w:bidi="fa-IR"/>
        </w:rPr>
        <w:t xml:space="preserve"> </w:t>
      </w:r>
      <w:proofErr w:type="spellStart"/>
      <w:r w:rsidRPr="006A2061">
        <w:rPr>
          <w:rFonts w:asciiTheme="majorBidi" w:hAnsiTheme="majorBidi" w:cstheme="majorBidi"/>
          <w:b/>
          <w:bCs/>
          <w:sz w:val="20"/>
          <w:szCs w:val="20"/>
          <w:lang w:bidi="fa-IR"/>
        </w:rPr>
        <w:t>Hiagh</w:t>
      </w:r>
      <w:proofErr w:type="spellEnd"/>
    </w:p>
    <w:p w14:paraId="2234D22C" w14:textId="77777777" w:rsidR="006D1DB1" w:rsidRPr="006D1DB1" w:rsidRDefault="006D1DB1" w:rsidP="006D1DB1">
      <w:pPr>
        <w:bidi/>
        <w:spacing w:after="0" w:line="240" w:lineRule="auto"/>
        <w:jc w:val="center"/>
        <w:outlineLvl w:val="0"/>
        <w:rPr>
          <w:rFonts w:asciiTheme="majorBidi" w:hAnsiTheme="majorBidi" w:cstheme="majorBidi"/>
          <w:sz w:val="16"/>
          <w:szCs w:val="16"/>
          <w:lang w:bidi="fa-IR"/>
        </w:rPr>
      </w:pPr>
      <w:r w:rsidRPr="006D1DB1">
        <w:rPr>
          <w:rFonts w:asciiTheme="majorBidi" w:hAnsiTheme="majorBidi" w:cstheme="majorBidi"/>
          <w:sz w:val="16"/>
          <w:szCs w:val="16"/>
          <w:lang w:bidi="fa-IR"/>
        </w:rPr>
        <w:t>PhD student in Biochemistry, Science and Research Branch, Tehran Medical Sciences SR.C. Islamic Azad University, Tehran, Iran</w:t>
      </w:r>
    </w:p>
    <w:p w14:paraId="77C539AE" w14:textId="77777777" w:rsidR="004D48B7" w:rsidRPr="006D1DB1" w:rsidRDefault="004D48B7" w:rsidP="004D48B7">
      <w:pPr>
        <w:bidi/>
        <w:spacing w:after="0" w:line="240" w:lineRule="auto"/>
        <w:jc w:val="center"/>
        <w:outlineLvl w:val="0"/>
        <w:rPr>
          <w:rFonts w:asciiTheme="majorBidi" w:hAnsiTheme="majorBidi" w:cstheme="majorBidi"/>
          <w:sz w:val="16"/>
          <w:szCs w:val="16"/>
          <w:lang w:bidi="fa-IR"/>
        </w:rPr>
      </w:pPr>
    </w:p>
    <w:p w14:paraId="6FC1EB41" w14:textId="77777777" w:rsidR="004D48B7" w:rsidRDefault="004D48B7" w:rsidP="004D48B7">
      <w:pPr>
        <w:bidi/>
        <w:spacing w:after="0" w:line="240" w:lineRule="auto"/>
        <w:jc w:val="center"/>
        <w:outlineLvl w:val="0"/>
        <w:rPr>
          <w:rFonts w:asciiTheme="majorBidi" w:hAnsiTheme="majorBidi" w:cstheme="majorBidi"/>
          <w:sz w:val="28"/>
          <w:szCs w:val="28"/>
          <w:lang w:bidi="fa-IR"/>
        </w:rPr>
      </w:pPr>
    </w:p>
    <w:p w14:paraId="0F1E0832" w14:textId="77777777" w:rsidR="004D48B7" w:rsidRDefault="004D48B7" w:rsidP="004D48B7">
      <w:pPr>
        <w:bidi/>
        <w:spacing w:after="0" w:line="240" w:lineRule="auto"/>
        <w:jc w:val="center"/>
        <w:outlineLvl w:val="0"/>
        <w:rPr>
          <w:rFonts w:asciiTheme="majorBidi" w:hAnsiTheme="majorBidi" w:cstheme="majorBidi"/>
          <w:sz w:val="28"/>
          <w:szCs w:val="28"/>
          <w:lang w:bidi="fa-IR"/>
        </w:rPr>
      </w:pPr>
    </w:p>
    <w:p w14:paraId="71439102" w14:textId="77777777" w:rsidR="004D48B7" w:rsidRDefault="004D48B7" w:rsidP="004D48B7">
      <w:pPr>
        <w:bidi/>
        <w:spacing w:after="0" w:line="240" w:lineRule="auto"/>
        <w:jc w:val="center"/>
        <w:outlineLvl w:val="0"/>
        <w:rPr>
          <w:rFonts w:asciiTheme="majorBidi" w:hAnsiTheme="majorBidi" w:cstheme="majorBidi"/>
          <w:sz w:val="28"/>
          <w:szCs w:val="28"/>
          <w:lang w:bidi="fa-IR"/>
        </w:rPr>
      </w:pPr>
    </w:p>
    <w:p w14:paraId="66CBB830" w14:textId="77777777" w:rsidR="004D48B7" w:rsidRDefault="004D48B7" w:rsidP="004D48B7">
      <w:pPr>
        <w:bidi/>
        <w:spacing w:after="0" w:line="240" w:lineRule="auto"/>
        <w:jc w:val="center"/>
        <w:outlineLvl w:val="0"/>
        <w:rPr>
          <w:rFonts w:asciiTheme="majorBidi" w:hAnsiTheme="majorBidi" w:cstheme="majorBidi"/>
          <w:sz w:val="28"/>
          <w:szCs w:val="28"/>
          <w:lang w:bidi="fa-IR"/>
        </w:rPr>
      </w:pPr>
    </w:p>
    <w:p w14:paraId="55618C30" w14:textId="059AA290" w:rsidR="004D48B7" w:rsidRDefault="004D48B7" w:rsidP="004D48B7">
      <w:pPr>
        <w:bidi/>
        <w:spacing w:after="0" w:line="240" w:lineRule="auto"/>
        <w:jc w:val="right"/>
        <w:outlineLvl w:val="0"/>
        <w:rPr>
          <w:rFonts w:asciiTheme="majorBidi" w:hAnsiTheme="majorBidi" w:cstheme="majorBidi"/>
          <w:b/>
          <w:bCs/>
          <w:lang w:bidi="fa-IR"/>
        </w:rPr>
      </w:pPr>
      <w:r w:rsidRPr="004D48B7">
        <w:rPr>
          <w:rFonts w:asciiTheme="majorBidi" w:hAnsiTheme="majorBidi" w:cstheme="majorBidi"/>
          <w:b/>
          <w:bCs/>
          <w:lang w:bidi="fa-IR"/>
        </w:rPr>
        <w:t>Abstract</w:t>
      </w:r>
    </w:p>
    <w:p w14:paraId="3857994F" w14:textId="77777777" w:rsidR="004D48B7" w:rsidRDefault="004D48B7" w:rsidP="004D48B7">
      <w:pPr>
        <w:bidi/>
        <w:spacing w:after="0" w:line="240" w:lineRule="auto"/>
        <w:jc w:val="right"/>
        <w:outlineLvl w:val="0"/>
        <w:rPr>
          <w:rFonts w:asciiTheme="majorBidi" w:hAnsiTheme="majorBidi" w:cstheme="majorBidi"/>
          <w:b/>
          <w:bCs/>
          <w:lang w:bidi="fa-IR"/>
        </w:rPr>
      </w:pPr>
    </w:p>
    <w:p w14:paraId="2BE75CF6" w14:textId="77777777" w:rsidR="004D48B7" w:rsidRDefault="004D48B7" w:rsidP="004D48B7">
      <w:pPr>
        <w:bidi/>
        <w:spacing w:after="0" w:line="240" w:lineRule="auto"/>
        <w:jc w:val="right"/>
        <w:outlineLvl w:val="0"/>
        <w:rPr>
          <w:rFonts w:asciiTheme="majorBidi" w:hAnsiTheme="majorBidi" w:cstheme="majorBidi"/>
          <w:b/>
          <w:bCs/>
          <w:lang w:bidi="fa-IR"/>
        </w:rPr>
      </w:pPr>
    </w:p>
    <w:p w14:paraId="495FF43C" w14:textId="19913545" w:rsidR="004D48B7" w:rsidRDefault="004D48B7" w:rsidP="004D48B7">
      <w:pPr>
        <w:bidi/>
        <w:spacing w:after="0" w:line="240" w:lineRule="auto"/>
        <w:jc w:val="right"/>
        <w:outlineLvl w:val="0"/>
        <w:rPr>
          <w:rFonts w:asciiTheme="majorBidi" w:hAnsiTheme="majorBidi" w:cstheme="majorBidi"/>
          <w:sz w:val="22"/>
          <w:szCs w:val="22"/>
          <w:lang w:bidi="fa-IR"/>
        </w:rPr>
      </w:pPr>
      <w:r w:rsidRPr="004D48B7">
        <w:rPr>
          <w:rFonts w:asciiTheme="majorBidi" w:hAnsiTheme="majorBidi" w:cstheme="majorBidi"/>
          <w:sz w:val="22"/>
          <w:szCs w:val="22"/>
          <w:lang w:bidi="fa-IR"/>
        </w:rPr>
        <w:t xml:space="preserve">The law does not purport to view individuals through the divine lens. Fluoxetine is recognized as a prevalent pharmacological intervention for depression; however, its prescription must be contingent upon the patient's individual condition. The physician is legally bound to assess the patient's specific circumstances, including age, the specific type of depression, and physical health status. Failure to observe any of these parameters may give rise to physician liability. Although Iranian statutes do not explicitly codify specific liability rules for this context, this study interprets the physician's obligations through the general framework of civil liability. Where statutory silence or legal lacunae exist, recourse has been had to comparative legal systems to deduce the applicable legal ruling. The governing standard established herein is </w:t>
      </w:r>
      <w:r w:rsidRPr="004D48B7">
        <w:rPr>
          <w:rFonts w:asciiTheme="majorBidi" w:hAnsiTheme="majorBidi" w:cstheme="majorBidi"/>
          <w:b/>
          <w:bCs/>
          <w:sz w:val="22"/>
          <w:szCs w:val="22"/>
          <w:lang w:bidi="fa-IR"/>
        </w:rPr>
        <w:t>"objective fault,"</w:t>
      </w:r>
      <w:r w:rsidRPr="004D48B7">
        <w:rPr>
          <w:rFonts w:asciiTheme="majorBidi" w:hAnsiTheme="majorBidi" w:cstheme="majorBidi"/>
          <w:sz w:val="22"/>
          <w:szCs w:val="22"/>
          <w:lang w:bidi="fa-IR"/>
        </w:rPr>
        <w:t xml:space="preserve"> defined by the professional </w:t>
      </w:r>
      <w:r w:rsidRPr="004D48B7">
        <w:rPr>
          <w:rFonts w:asciiTheme="majorBidi" w:hAnsiTheme="majorBidi" w:cstheme="majorBidi"/>
          <w:b/>
          <w:bCs/>
          <w:sz w:val="22"/>
          <w:szCs w:val="22"/>
          <w:lang w:bidi="fa-IR"/>
        </w:rPr>
        <w:t>standard of care</w:t>
      </w:r>
      <w:r w:rsidRPr="004D48B7">
        <w:rPr>
          <w:rFonts w:asciiTheme="majorBidi" w:hAnsiTheme="majorBidi" w:cstheme="majorBidi"/>
          <w:sz w:val="22"/>
          <w:szCs w:val="22"/>
          <w:lang w:bidi="fa-IR"/>
        </w:rPr>
        <w:t xml:space="preserve">, whereby any deviation or breach thereof engenders liability. Furthermore, the doctrine of </w:t>
      </w:r>
      <w:r w:rsidRPr="004D48B7">
        <w:rPr>
          <w:rFonts w:asciiTheme="majorBidi" w:hAnsiTheme="majorBidi" w:cstheme="majorBidi"/>
          <w:b/>
          <w:bCs/>
          <w:sz w:val="22"/>
          <w:szCs w:val="22"/>
          <w:lang w:bidi="fa-IR"/>
        </w:rPr>
        <w:t>informed consent</w:t>
      </w:r>
      <w:r w:rsidRPr="004D48B7">
        <w:rPr>
          <w:rFonts w:asciiTheme="majorBidi" w:hAnsiTheme="majorBidi" w:cstheme="majorBidi"/>
          <w:sz w:val="22"/>
          <w:szCs w:val="22"/>
          <w:lang w:bidi="fa-IR"/>
        </w:rPr>
        <w:t xml:space="preserve"> is of paramount importance; absent such consent, any medical intervention renders the physician liable. In this specific context, the disclosure of pharmaceutical side effects to the patient is identified as a constitutive element of valid informed consent.</w:t>
      </w:r>
    </w:p>
    <w:p w14:paraId="76857DD7" w14:textId="77777777" w:rsidR="006D1DB1" w:rsidRDefault="006D1DB1" w:rsidP="006D1DB1">
      <w:pPr>
        <w:bidi/>
        <w:spacing w:after="0" w:line="240" w:lineRule="auto"/>
        <w:jc w:val="right"/>
        <w:outlineLvl w:val="0"/>
        <w:rPr>
          <w:rFonts w:asciiTheme="majorBidi" w:hAnsiTheme="majorBidi" w:cstheme="majorBidi"/>
          <w:sz w:val="22"/>
          <w:szCs w:val="22"/>
          <w:lang w:bidi="fa-IR"/>
        </w:rPr>
      </w:pPr>
    </w:p>
    <w:p w14:paraId="0E72B685" w14:textId="77777777" w:rsidR="006D1DB1" w:rsidRDefault="006D1DB1" w:rsidP="006D1DB1">
      <w:pPr>
        <w:bidi/>
        <w:spacing w:after="0" w:line="240" w:lineRule="auto"/>
        <w:jc w:val="right"/>
        <w:outlineLvl w:val="0"/>
        <w:rPr>
          <w:rFonts w:asciiTheme="majorBidi" w:hAnsiTheme="majorBidi" w:cstheme="majorBidi"/>
          <w:sz w:val="22"/>
          <w:szCs w:val="22"/>
          <w:lang w:bidi="fa-IR"/>
        </w:rPr>
      </w:pPr>
    </w:p>
    <w:p w14:paraId="22600924" w14:textId="4F864245" w:rsidR="006D1DB1" w:rsidRPr="006A2061" w:rsidRDefault="006D1DB1" w:rsidP="006D1DB1">
      <w:pPr>
        <w:bidi/>
        <w:spacing w:after="0" w:line="240" w:lineRule="auto"/>
        <w:jc w:val="right"/>
        <w:outlineLvl w:val="0"/>
        <w:rPr>
          <w:rFonts w:asciiTheme="majorBidi" w:hAnsiTheme="majorBidi" w:cstheme="majorBidi"/>
          <w:sz w:val="22"/>
          <w:szCs w:val="22"/>
          <w:lang w:bidi="fa-IR"/>
        </w:rPr>
      </w:pPr>
      <w:r>
        <w:rPr>
          <w:rFonts w:asciiTheme="majorBidi" w:hAnsiTheme="majorBidi" w:cstheme="majorBidi"/>
          <w:b/>
          <w:bCs/>
          <w:lang w:bidi="fa-IR"/>
        </w:rPr>
        <w:t>Keywords:</w:t>
      </w:r>
      <w:r w:rsidRPr="006D1DB1">
        <w:t xml:space="preserve"> </w:t>
      </w:r>
      <w:r w:rsidRPr="006A2061">
        <w:rPr>
          <w:rFonts w:asciiTheme="majorBidi" w:hAnsiTheme="majorBidi" w:cstheme="majorBidi"/>
          <w:sz w:val="22"/>
          <w:szCs w:val="22"/>
          <w:lang w:bidi="fa-IR"/>
        </w:rPr>
        <w:t>Fluoxetine, liability, psychiatry, medical law</w:t>
      </w:r>
    </w:p>
    <w:p w14:paraId="2C66AE5E" w14:textId="77777777" w:rsidR="006D1DB1" w:rsidRPr="004D48B7" w:rsidRDefault="006D1DB1">
      <w:pPr>
        <w:bidi/>
        <w:spacing w:after="0" w:line="240" w:lineRule="auto"/>
        <w:jc w:val="right"/>
        <w:outlineLvl w:val="0"/>
        <w:rPr>
          <w:rFonts w:asciiTheme="majorBidi" w:hAnsiTheme="majorBidi" w:cstheme="majorBidi"/>
          <w:sz w:val="22"/>
          <w:szCs w:val="22"/>
          <w:lang w:bidi="fa-IR"/>
        </w:rPr>
      </w:pPr>
    </w:p>
    <w:sectPr w:rsidR="006D1DB1" w:rsidRPr="004D48B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A073" w14:textId="77777777" w:rsidR="003B5351" w:rsidRDefault="003B5351" w:rsidP="001F1083">
      <w:pPr>
        <w:spacing w:after="0" w:line="240" w:lineRule="auto"/>
      </w:pPr>
      <w:r>
        <w:separator/>
      </w:r>
    </w:p>
  </w:endnote>
  <w:endnote w:type="continuationSeparator" w:id="0">
    <w:p w14:paraId="2CDAA626" w14:textId="77777777" w:rsidR="003B5351" w:rsidRDefault="003B5351" w:rsidP="001F1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FFBB" w14:textId="662D0152" w:rsidR="001F1083" w:rsidRPr="001F1083" w:rsidRDefault="001F1083" w:rsidP="001F1083">
    <w:pPr>
      <w:pStyle w:val="Footer"/>
      <w:jc w:val="center"/>
      <w:rPr>
        <w:b/>
        <w:bCs/>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34AA3" w14:textId="77777777" w:rsidR="003B5351" w:rsidRDefault="003B5351" w:rsidP="001F1083">
      <w:pPr>
        <w:spacing w:after="0" w:line="240" w:lineRule="auto"/>
      </w:pPr>
      <w:r>
        <w:separator/>
      </w:r>
    </w:p>
  </w:footnote>
  <w:footnote w:type="continuationSeparator" w:id="0">
    <w:p w14:paraId="5722725C" w14:textId="77777777" w:rsidR="003B5351" w:rsidRDefault="003B5351" w:rsidP="001F1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6E6E5" w14:textId="0D16C361" w:rsidR="00C23CF4" w:rsidRDefault="00C23CF4">
    <w:pPr>
      <w:pStyle w:val="Header"/>
    </w:pPr>
    <w:r>
      <w:rPr>
        <w:noProof/>
      </w:rPr>
      <w:drawing>
        <wp:anchor distT="0" distB="0" distL="114300" distR="114300" simplePos="0" relativeHeight="251658240" behindDoc="0" locked="0" layoutInCell="1" allowOverlap="1" wp14:anchorId="66A23B19" wp14:editId="6BEA4F31">
          <wp:simplePos x="0" y="0"/>
          <wp:positionH relativeFrom="column">
            <wp:posOffset>906780</wp:posOffset>
          </wp:positionH>
          <wp:positionV relativeFrom="paragraph">
            <wp:posOffset>-441960</wp:posOffset>
          </wp:positionV>
          <wp:extent cx="5943600" cy="722630"/>
          <wp:effectExtent l="0" t="0" r="0" b="1270"/>
          <wp:wrapNone/>
          <wp:docPr id="12621332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33217" name="Picture 1262133217"/>
                  <pic:cNvPicPr/>
                </pic:nvPicPr>
                <pic:blipFill>
                  <a:blip r:embed="rId1">
                    <a:extLst>
                      <a:ext uri="{28A0092B-C50C-407E-A947-70E740481C1C}">
                        <a14:useLocalDpi xmlns:a14="http://schemas.microsoft.com/office/drawing/2010/main" val="0"/>
                      </a:ext>
                    </a:extLst>
                  </a:blip>
                  <a:stretch>
                    <a:fillRect/>
                  </a:stretch>
                </pic:blipFill>
                <pic:spPr>
                  <a:xfrm>
                    <a:off x="0" y="0"/>
                    <a:ext cx="5943600" cy="722630"/>
                  </a:xfrm>
                  <a:prstGeom prst="rect">
                    <a:avLst/>
                  </a:prstGeom>
                </pic:spPr>
              </pic:pic>
            </a:graphicData>
          </a:graphic>
        </wp:anchor>
      </w:drawing>
    </w:r>
  </w:p>
  <w:p w14:paraId="517F61C9" w14:textId="77777777" w:rsidR="00C23CF4" w:rsidRDefault="00C23C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A65"/>
    <w:rsid w:val="000164EB"/>
    <w:rsid w:val="00062262"/>
    <w:rsid w:val="000734DD"/>
    <w:rsid w:val="00084FC0"/>
    <w:rsid w:val="000D4575"/>
    <w:rsid w:val="000D6E64"/>
    <w:rsid w:val="00136F5A"/>
    <w:rsid w:val="001B11C8"/>
    <w:rsid w:val="001B6E20"/>
    <w:rsid w:val="001D0E59"/>
    <w:rsid w:val="001E32CD"/>
    <w:rsid w:val="001F1083"/>
    <w:rsid w:val="002107A0"/>
    <w:rsid w:val="00227D95"/>
    <w:rsid w:val="00275123"/>
    <w:rsid w:val="00332D32"/>
    <w:rsid w:val="003530A2"/>
    <w:rsid w:val="003867C5"/>
    <w:rsid w:val="003B5351"/>
    <w:rsid w:val="003F1DDB"/>
    <w:rsid w:val="003F2510"/>
    <w:rsid w:val="00405CB7"/>
    <w:rsid w:val="00426451"/>
    <w:rsid w:val="00434BE4"/>
    <w:rsid w:val="004446E0"/>
    <w:rsid w:val="004816AD"/>
    <w:rsid w:val="00493A70"/>
    <w:rsid w:val="004B4A65"/>
    <w:rsid w:val="004D48B7"/>
    <w:rsid w:val="00510BAA"/>
    <w:rsid w:val="00531DD4"/>
    <w:rsid w:val="005364C2"/>
    <w:rsid w:val="005B17A2"/>
    <w:rsid w:val="005C0723"/>
    <w:rsid w:val="005C117F"/>
    <w:rsid w:val="005E0343"/>
    <w:rsid w:val="005F3099"/>
    <w:rsid w:val="006A2061"/>
    <w:rsid w:val="006B4626"/>
    <w:rsid w:val="006B70FE"/>
    <w:rsid w:val="006D1DB1"/>
    <w:rsid w:val="006D238B"/>
    <w:rsid w:val="00705347"/>
    <w:rsid w:val="007249F3"/>
    <w:rsid w:val="007A1DA2"/>
    <w:rsid w:val="007A28A6"/>
    <w:rsid w:val="007A2B31"/>
    <w:rsid w:val="007D448B"/>
    <w:rsid w:val="007F7C81"/>
    <w:rsid w:val="00801735"/>
    <w:rsid w:val="00804532"/>
    <w:rsid w:val="0087370A"/>
    <w:rsid w:val="00882F39"/>
    <w:rsid w:val="008977EB"/>
    <w:rsid w:val="008B168E"/>
    <w:rsid w:val="008B393F"/>
    <w:rsid w:val="00917851"/>
    <w:rsid w:val="00921B33"/>
    <w:rsid w:val="00941BEF"/>
    <w:rsid w:val="009746BA"/>
    <w:rsid w:val="00992F09"/>
    <w:rsid w:val="009A5637"/>
    <w:rsid w:val="009D4199"/>
    <w:rsid w:val="00A420FF"/>
    <w:rsid w:val="00A43F60"/>
    <w:rsid w:val="00AB1724"/>
    <w:rsid w:val="00AD6E3C"/>
    <w:rsid w:val="00AF1B2E"/>
    <w:rsid w:val="00B02C47"/>
    <w:rsid w:val="00B05CCC"/>
    <w:rsid w:val="00B55B38"/>
    <w:rsid w:val="00B61AF8"/>
    <w:rsid w:val="00B764B7"/>
    <w:rsid w:val="00B82C27"/>
    <w:rsid w:val="00BB5DAB"/>
    <w:rsid w:val="00C06CFD"/>
    <w:rsid w:val="00C23CF4"/>
    <w:rsid w:val="00C343EC"/>
    <w:rsid w:val="00C511ED"/>
    <w:rsid w:val="00C9226D"/>
    <w:rsid w:val="00C95A07"/>
    <w:rsid w:val="00CF32C2"/>
    <w:rsid w:val="00D46B9D"/>
    <w:rsid w:val="00D550AB"/>
    <w:rsid w:val="00DD2588"/>
    <w:rsid w:val="00DE50B7"/>
    <w:rsid w:val="00E158B6"/>
    <w:rsid w:val="00E24125"/>
    <w:rsid w:val="00E32230"/>
    <w:rsid w:val="00E352F2"/>
    <w:rsid w:val="00E60E0B"/>
    <w:rsid w:val="00ED0179"/>
    <w:rsid w:val="00F2782D"/>
    <w:rsid w:val="00F43094"/>
    <w:rsid w:val="00F55AD8"/>
    <w:rsid w:val="00FD5272"/>
    <w:rsid w:val="00FE4A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3D0BB"/>
  <w15:chartTrackingRefBased/>
  <w15:docId w15:val="{CAA2FA74-7ACD-4F0A-A03B-9DCC8A9BC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4A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4A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A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A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A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A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A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A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A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A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4A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A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A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A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A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A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A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A65"/>
    <w:rPr>
      <w:rFonts w:eastAsiaTheme="majorEastAsia" w:cstheme="majorBidi"/>
      <w:color w:val="272727" w:themeColor="text1" w:themeTint="D8"/>
    </w:rPr>
  </w:style>
  <w:style w:type="paragraph" w:styleId="Title">
    <w:name w:val="Title"/>
    <w:basedOn w:val="Normal"/>
    <w:next w:val="Normal"/>
    <w:link w:val="TitleChar"/>
    <w:uiPriority w:val="10"/>
    <w:qFormat/>
    <w:rsid w:val="004B4A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A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A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A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A65"/>
    <w:pPr>
      <w:spacing w:before="160"/>
      <w:jc w:val="center"/>
    </w:pPr>
    <w:rPr>
      <w:i/>
      <w:iCs/>
      <w:color w:val="404040" w:themeColor="text1" w:themeTint="BF"/>
    </w:rPr>
  </w:style>
  <w:style w:type="character" w:customStyle="1" w:styleId="QuoteChar">
    <w:name w:val="Quote Char"/>
    <w:basedOn w:val="DefaultParagraphFont"/>
    <w:link w:val="Quote"/>
    <w:uiPriority w:val="29"/>
    <w:rsid w:val="004B4A65"/>
    <w:rPr>
      <w:i/>
      <w:iCs/>
      <w:color w:val="404040" w:themeColor="text1" w:themeTint="BF"/>
    </w:rPr>
  </w:style>
  <w:style w:type="paragraph" w:styleId="ListParagraph">
    <w:name w:val="List Paragraph"/>
    <w:basedOn w:val="Normal"/>
    <w:uiPriority w:val="34"/>
    <w:qFormat/>
    <w:rsid w:val="004B4A65"/>
    <w:pPr>
      <w:ind w:left="720"/>
      <w:contextualSpacing/>
    </w:pPr>
  </w:style>
  <w:style w:type="character" w:styleId="IntenseEmphasis">
    <w:name w:val="Intense Emphasis"/>
    <w:basedOn w:val="DefaultParagraphFont"/>
    <w:uiPriority w:val="21"/>
    <w:qFormat/>
    <w:rsid w:val="004B4A65"/>
    <w:rPr>
      <w:i/>
      <w:iCs/>
      <w:color w:val="0F4761" w:themeColor="accent1" w:themeShade="BF"/>
    </w:rPr>
  </w:style>
  <w:style w:type="paragraph" w:styleId="IntenseQuote">
    <w:name w:val="Intense Quote"/>
    <w:basedOn w:val="Normal"/>
    <w:next w:val="Normal"/>
    <w:link w:val="IntenseQuoteChar"/>
    <w:uiPriority w:val="30"/>
    <w:qFormat/>
    <w:rsid w:val="004B4A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A65"/>
    <w:rPr>
      <w:i/>
      <w:iCs/>
      <w:color w:val="0F4761" w:themeColor="accent1" w:themeShade="BF"/>
    </w:rPr>
  </w:style>
  <w:style w:type="character" w:styleId="IntenseReference">
    <w:name w:val="Intense Reference"/>
    <w:basedOn w:val="DefaultParagraphFont"/>
    <w:uiPriority w:val="32"/>
    <w:qFormat/>
    <w:rsid w:val="004B4A65"/>
    <w:rPr>
      <w:b/>
      <w:bCs/>
      <w:smallCaps/>
      <w:color w:val="0F4761" w:themeColor="accent1" w:themeShade="BF"/>
      <w:spacing w:val="5"/>
    </w:rPr>
  </w:style>
  <w:style w:type="paragraph" w:styleId="Header">
    <w:name w:val="header"/>
    <w:basedOn w:val="Normal"/>
    <w:link w:val="HeaderChar"/>
    <w:uiPriority w:val="99"/>
    <w:unhideWhenUsed/>
    <w:rsid w:val="001F10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1083"/>
  </w:style>
  <w:style w:type="paragraph" w:styleId="Footer">
    <w:name w:val="footer"/>
    <w:basedOn w:val="Normal"/>
    <w:link w:val="FooterChar"/>
    <w:uiPriority w:val="99"/>
    <w:unhideWhenUsed/>
    <w:rsid w:val="001F10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1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56130">
      <w:bodyDiv w:val="1"/>
      <w:marLeft w:val="0"/>
      <w:marRight w:val="0"/>
      <w:marTop w:val="0"/>
      <w:marBottom w:val="0"/>
      <w:divBdr>
        <w:top w:val="none" w:sz="0" w:space="0" w:color="auto"/>
        <w:left w:val="none" w:sz="0" w:space="0" w:color="auto"/>
        <w:bottom w:val="none" w:sz="0" w:space="0" w:color="auto"/>
        <w:right w:val="none" w:sz="0" w:space="0" w:color="auto"/>
      </w:divBdr>
    </w:div>
    <w:div w:id="163645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3D01-9B17-4860-A78A-4F757D18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11</Pages>
  <Words>18678</Words>
  <Characters>106469</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Jafari</dc:creator>
  <cp:keywords/>
  <dc:description/>
  <cp:lastModifiedBy>Panta Rayan</cp:lastModifiedBy>
  <cp:revision>26</cp:revision>
  <dcterms:created xsi:type="dcterms:W3CDTF">2026-02-11T16:18:00Z</dcterms:created>
  <dcterms:modified xsi:type="dcterms:W3CDTF">2026-02-13T15:21:00Z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75a2db4d-7299-3058-bda0-9a29555cf189</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6th/7th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18th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12th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9th edition (in-text citations)</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