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5BB70" w14:textId="12AC1605" w:rsidR="009B3F99" w:rsidRPr="00866D80" w:rsidRDefault="00B32DAB" w:rsidP="008206A3">
      <w:pPr>
        <w:spacing w:line="276" w:lineRule="auto"/>
        <w:jc w:val="both"/>
        <w:rPr>
          <w:rFonts w:cs="B Lotus"/>
          <w:b/>
          <w:bCs/>
          <w:color w:val="FF0000"/>
          <w:sz w:val="28"/>
          <w:szCs w:val="28"/>
          <w:highlight w:val="yellow"/>
          <w:rtl/>
        </w:rPr>
      </w:pPr>
      <w:r>
        <w:rPr>
          <w:rFonts w:cs="B Lotus"/>
          <w:b/>
          <w:bCs/>
          <w:noProof/>
          <w:color w:val="FF0000"/>
          <w:sz w:val="28"/>
          <w:szCs w:val="28"/>
          <w:rtl/>
        </w:rPr>
        <w:drawing>
          <wp:inline distT="0" distB="0" distL="0" distR="0" wp14:anchorId="6ED570D7" wp14:editId="11E228DA">
            <wp:extent cx="5878195" cy="715010"/>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jcnf.ir_1764760052 (1).png"/>
                    <pic:cNvPicPr/>
                  </pic:nvPicPr>
                  <pic:blipFill>
                    <a:blip r:embed="rId9">
                      <a:extLst>
                        <a:ext uri="{28A0092B-C50C-407E-A947-70E740481C1C}">
                          <a14:useLocalDpi xmlns:a14="http://schemas.microsoft.com/office/drawing/2010/main" val="0"/>
                        </a:ext>
                      </a:extLst>
                    </a:blip>
                    <a:stretch>
                      <a:fillRect/>
                    </a:stretch>
                  </pic:blipFill>
                  <pic:spPr>
                    <a:xfrm>
                      <a:off x="0" y="0"/>
                      <a:ext cx="5878195" cy="715010"/>
                    </a:xfrm>
                    <a:prstGeom prst="rect">
                      <a:avLst/>
                    </a:prstGeom>
                  </pic:spPr>
                </pic:pic>
              </a:graphicData>
            </a:graphic>
          </wp:inline>
        </w:drawing>
      </w:r>
    </w:p>
    <w:p w14:paraId="39F8969C" w14:textId="77777777" w:rsidR="000D46FD" w:rsidRDefault="000D46FD" w:rsidP="00866D80">
      <w:pPr>
        <w:spacing w:line="276" w:lineRule="auto"/>
        <w:jc w:val="center"/>
        <w:rPr>
          <w:rFonts w:cs="B Lotus"/>
          <w:b/>
          <w:bCs/>
          <w:sz w:val="28"/>
          <w:szCs w:val="28"/>
          <w:rtl/>
        </w:rPr>
      </w:pPr>
      <w:bookmarkStart w:id="0" w:name="_Hlk187662077"/>
      <w:bookmarkStart w:id="1" w:name="_GoBack"/>
    </w:p>
    <w:bookmarkEnd w:id="1"/>
    <w:p w14:paraId="4A618753" w14:textId="326035D5" w:rsidR="000D46FD" w:rsidRDefault="00484847" w:rsidP="00866D80">
      <w:pPr>
        <w:spacing w:line="276" w:lineRule="auto"/>
        <w:jc w:val="center"/>
        <w:rPr>
          <w:rFonts w:cs="B Lotus"/>
          <w:b/>
          <w:bCs/>
          <w:sz w:val="28"/>
          <w:szCs w:val="28"/>
          <w:rtl/>
        </w:rPr>
      </w:pPr>
      <w:r>
        <w:rPr>
          <w:rFonts w:cs="B Lotus" w:hint="cs"/>
          <w:b/>
          <w:bCs/>
          <w:sz w:val="28"/>
          <w:szCs w:val="28"/>
          <w:rtl/>
        </w:rPr>
        <w:t xml:space="preserve">افشین یزدانی طاقوسطانی </w:t>
      </w:r>
    </w:p>
    <w:p w14:paraId="562E3228" w14:textId="77777777" w:rsidR="000D46FD" w:rsidRDefault="000D46FD" w:rsidP="00866D80">
      <w:pPr>
        <w:spacing w:line="276" w:lineRule="auto"/>
        <w:jc w:val="center"/>
        <w:rPr>
          <w:rFonts w:cs="B Lotus"/>
          <w:b/>
          <w:bCs/>
          <w:sz w:val="28"/>
          <w:szCs w:val="28"/>
          <w:rtl/>
        </w:rPr>
      </w:pPr>
    </w:p>
    <w:p w14:paraId="2B1609C0" w14:textId="1A916075" w:rsidR="0046303C" w:rsidRPr="00866D80" w:rsidRDefault="00AA2A79" w:rsidP="00866D80">
      <w:pPr>
        <w:spacing w:line="276" w:lineRule="auto"/>
        <w:jc w:val="center"/>
        <w:rPr>
          <w:rFonts w:cs="B Lotus"/>
          <w:b/>
          <w:bCs/>
          <w:sz w:val="28"/>
          <w:szCs w:val="28"/>
          <w:rtl/>
        </w:rPr>
      </w:pPr>
      <w:r w:rsidRPr="00866D80">
        <w:rPr>
          <w:rFonts w:cs="B Lotus"/>
          <w:b/>
          <w:bCs/>
          <w:sz w:val="28"/>
          <w:szCs w:val="28"/>
          <w:rtl/>
        </w:rPr>
        <w:t>حما</w:t>
      </w:r>
      <w:r w:rsidRPr="00866D80">
        <w:rPr>
          <w:rFonts w:cs="B Lotus" w:hint="cs"/>
          <w:b/>
          <w:bCs/>
          <w:sz w:val="28"/>
          <w:szCs w:val="28"/>
          <w:rtl/>
        </w:rPr>
        <w:t>ی</w:t>
      </w:r>
      <w:r w:rsidRPr="00866D80">
        <w:rPr>
          <w:rFonts w:cs="B Lotus" w:hint="eastAsia"/>
          <w:b/>
          <w:bCs/>
          <w:sz w:val="28"/>
          <w:szCs w:val="28"/>
          <w:rtl/>
        </w:rPr>
        <w:t>ت</w:t>
      </w:r>
      <w:r w:rsidRPr="00866D80">
        <w:rPr>
          <w:rFonts w:cs="B Lotus"/>
          <w:b/>
          <w:bCs/>
          <w:sz w:val="28"/>
          <w:szCs w:val="28"/>
          <w:rtl/>
        </w:rPr>
        <w:t xml:space="preserve"> اختصاص</w:t>
      </w:r>
      <w:r w:rsidRPr="00866D80">
        <w:rPr>
          <w:rFonts w:cs="B Lotus" w:hint="cs"/>
          <w:b/>
          <w:bCs/>
          <w:sz w:val="28"/>
          <w:szCs w:val="28"/>
          <w:rtl/>
        </w:rPr>
        <w:t>ی</w:t>
      </w:r>
      <w:r w:rsidRPr="00866D80">
        <w:rPr>
          <w:rFonts w:cs="B Lotus"/>
          <w:b/>
          <w:bCs/>
          <w:sz w:val="28"/>
          <w:szCs w:val="28"/>
          <w:rtl/>
        </w:rPr>
        <w:t xml:space="preserve"> از بزه د</w:t>
      </w:r>
      <w:r w:rsidRPr="00866D80">
        <w:rPr>
          <w:rFonts w:cs="B Lotus" w:hint="cs"/>
          <w:b/>
          <w:bCs/>
          <w:sz w:val="28"/>
          <w:szCs w:val="28"/>
          <w:rtl/>
        </w:rPr>
        <w:t>ی</w:t>
      </w:r>
      <w:r w:rsidRPr="00866D80">
        <w:rPr>
          <w:rFonts w:cs="B Lotus" w:hint="eastAsia"/>
          <w:b/>
          <w:bCs/>
          <w:sz w:val="28"/>
          <w:szCs w:val="28"/>
          <w:rtl/>
        </w:rPr>
        <w:t>دگان</w:t>
      </w:r>
      <w:r w:rsidRPr="00866D80">
        <w:rPr>
          <w:rFonts w:cs="B Lotus"/>
          <w:b/>
          <w:bCs/>
          <w:sz w:val="28"/>
          <w:szCs w:val="28"/>
          <w:rtl/>
        </w:rPr>
        <w:t xml:space="preserve"> </w:t>
      </w:r>
      <w:bookmarkEnd w:id="0"/>
      <w:r w:rsidRPr="00866D80">
        <w:rPr>
          <w:rFonts w:cs="B Lotus"/>
          <w:b/>
          <w:bCs/>
          <w:sz w:val="28"/>
          <w:szCs w:val="28"/>
          <w:rtl/>
        </w:rPr>
        <w:t>بالقوه در نظام حقوق</w:t>
      </w:r>
      <w:r w:rsidRPr="00866D80">
        <w:rPr>
          <w:rFonts w:cs="B Lotus" w:hint="cs"/>
          <w:b/>
          <w:bCs/>
          <w:sz w:val="28"/>
          <w:szCs w:val="28"/>
          <w:rtl/>
        </w:rPr>
        <w:t>ی</w:t>
      </w:r>
      <w:r w:rsidRPr="00866D80">
        <w:rPr>
          <w:rFonts w:cs="B Lotus"/>
          <w:b/>
          <w:bCs/>
          <w:sz w:val="28"/>
          <w:szCs w:val="28"/>
          <w:rtl/>
        </w:rPr>
        <w:t xml:space="preserve"> ا</w:t>
      </w:r>
      <w:r w:rsidRPr="00866D80">
        <w:rPr>
          <w:rFonts w:cs="B Lotus" w:hint="cs"/>
          <w:b/>
          <w:bCs/>
          <w:sz w:val="28"/>
          <w:szCs w:val="28"/>
          <w:rtl/>
        </w:rPr>
        <w:t>ی</w:t>
      </w:r>
      <w:r w:rsidRPr="00866D80">
        <w:rPr>
          <w:rFonts w:cs="B Lotus" w:hint="eastAsia"/>
          <w:b/>
          <w:bCs/>
          <w:sz w:val="28"/>
          <w:szCs w:val="28"/>
          <w:rtl/>
        </w:rPr>
        <w:t>ران</w:t>
      </w:r>
    </w:p>
    <w:p w14:paraId="1809257F" w14:textId="06657FE2" w:rsidR="00AA2A79" w:rsidRPr="00866D80" w:rsidRDefault="00AA2A79" w:rsidP="008206A3">
      <w:pPr>
        <w:spacing w:line="276" w:lineRule="auto"/>
        <w:jc w:val="both"/>
        <w:rPr>
          <w:rFonts w:cs="B Lotus"/>
          <w:b/>
          <w:bCs/>
          <w:sz w:val="28"/>
          <w:szCs w:val="28"/>
          <w:rtl/>
        </w:rPr>
      </w:pPr>
      <w:bookmarkStart w:id="2" w:name="_Hlk187659009"/>
      <w:r w:rsidRPr="00866D80">
        <w:rPr>
          <w:rFonts w:cs="B Lotus" w:hint="cs"/>
          <w:b/>
          <w:bCs/>
          <w:sz w:val="28"/>
          <w:szCs w:val="28"/>
          <w:rtl/>
        </w:rPr>
        <w:t xml:space="preserve">چکیده </w:t>
      </w:r>
    </w:p>
    <w:p w14:paraId="0465B9A6" w14:textId="53D980E8" w:rsidR="000B1F12" w:rsidRPr="00866D80" w:rsidRDefault="000B1F12" w:rsidP="008206A3">
      <w:pPr>
        <w:spacing w:line="276" w:lineRule="auto"/>
        <w:jc w:val="both"/>
        <w:rPr>
          <w:rFonts w:cs="B Lotus"/>
          <w:sz w:val="28"/>
          <w:szCs w:val="28"/>
          <w:rtl/>
        </w:rPr>
      </w:pPr>
      <w:r w:rsidRPr="00866D80">
        <w:rPr>
          <w:rFonts w:cs="B Lotus"/>
          <w:sz w:val="28"/>
          <w:szCs w:val="28"/>
          <w:rtl/>
        </w:rPr>
        <w:t>حمایت از بزه‌دیدگان بالقوه در نظام حقوقی ایران، به ویژه در مورد گروه‌های آسیب‌پذیر مانند معلولین، سالمندان، زنان بی‌سرپرست و کودکان، موضوعی حیاتی و ضروری است. این پژوهش با هدف بررسی و تحلیل وضعیت حقوقی این گروه‌ها و چالش‌های موجود در نظام حمایتی کشور انجام شده است. دغدغه اصلی این تحقیق پاسخ به این سوال است که چگونه نظام حقوقی ایران می‌تواند حمایت مؤثری از بزه‌دیدگان بالقوه فراهم کند و چه تدابیری برای حفاظت از حقوق آن‌ها باید اتخاذ شود</w:t>
      </w:r>
      <w:r w:rsidRPr="00866D80">
        <w:rPr>
          <w:rFonts w:cs="B Lotus"/>
          <w:sz w:val="28"/>
          <w:szCs w:val="28"/>
        </w:rPr>
        <w:t xml:space="preserve">. </w:t>
      </w:r>
      <w:r w:rsidRPr="00866D80">
        <w:rPr>
          <w:rFonts w:cs="B Lotus"/>
          <w:sz w:val="28"/>
          <w:szCs w:val="28"/>
          <w:rtl/>
        </w:rPr>
        <w:t>در این مقاله، با استفاده از روش توصیفی-تحلیلی و منابع کتابخانه‌ای، به شناسایی نقاط ضعف و قوت سیاست‌های موجود در حمایت از بزه‌دیدگان بالقوه پرداخته شده است. یافته‌ها نشان می‌دهد که گروه‌های مذکور به دلیل ویژگی‌های خاص خود، بیشتر در معرض خطر بزه‌دیدگی قرار دارند و نیازمند حمایت‌های قانونی و اجتماعی ویژه‌ای هستند</w:t>
      </w:r>
      <w:r w:rsidRPr="00866D80">
        <w:rPr>
          <w:rFonts w:cs="B Lotus" w:hint="cs"/>
          <w:sz w:val="28"/>
          <w:szCs w:val="28"/>
          <w:rtl/>
        </w:rPr>
        <w:t>.</w:t>
      </w:r>
      <w:r w:rsidRPr="00866D80">
        <w:rPr>
          <w:rFonts w:cs="B Lotus"/>
          <w:sz w:val="28"/>
          <w:szCs w:val="28"/>
        </w:rPr>
        <w:t xml:space="preserve"> </w:t>
      </w:r>
      <w:r w:rsidRPr="00866D80">
        <w:rPr>
          <w:rFonts w:cs="B Lotus"/>
          <w:sz w:val="28"/>
          <w:szCs w:val="28"/>
          <w:rtl/>
        </w:rPr>
        <w:t>معلولین به دلیل ناتوانی‌های جسمی و ذهنی خود، سالمندان به خاطر آسیب‌پذیری بالا، زنان بی‌سرپرست به دلیل فقدان حمایت اجتماعی و اقتصادی، و کودکان به علت عدم توانایی در دفاع از خود، همگی نیازمند تدابیر خاصی هستند تا از بزه‌دیدگی محافظت شوند</w:t>
      </w:r>
      <w:r w:rsidRPr="00866D80">
        <w:rPr>
          <w:rFonts w:cs="B Lotus" w:hint="cs"/>
          <w:sz w:val="28"/>
          <w:szCs w:val="28"/>
          <w:rtl/>
        </w:rPr>
        <w:t>.</w:t>
      </w:r>
      <w:r w:rsidRPr="00866D80">
        <w:rPr>
          <w:rFonts w:cs="B Lotus"/>
          <w:sz w:val="28"/>
          <w:szCs w:val="28"/>
          <w:rtl/>
        </w:rPr>
        <w:t xml:space="preserve"> مقاله </w:t>
      </w:r>
      <w:r w:rsidRPr="00866D80">
        <w:rPr>
          <w:rFonts w:cs="B Lotus" w:hint="cs"/>
          <w:sz w:val="28"/>
          <w:szCs w:val="28"/>
          <w:rtl/>
        </w:rPr>
        <w:t>حاضر</w:t>
      </w:r>
      <w:r w:rsidRPr="00866D80">
        <w:rPr>
          <w:rFonts w:cs="B Lotus"/>
          <w:sz w:val="28"/>
          <w:szCs w:val="28"/>
          <w:rtl/>
        </w:rPr>
        <w:t>همچنین بر لزوم تدوین و اجرای قوانین خاص برای حمایت از این گروه‌ها تأکید دارد. نظام حقوقی ایران هنوز نتوانسته است به طور کامل نیازهای این بزه‌دیدگان را شناسایی و پاسخگو باشد. در قوانین کیفری ایران، مواد خاصی برای حمایت از بزه‌دیدگان وجود دارد اما این مواد غالباً پراکنده و ناکافی هستند</w:t>
      </w:r>
      <w:r w:rsidRPr="00866D80">
        <w:rPr>
          <w:rFonts w:cs="B Lotus"/>
          <w:sz w:val="28"/>
          <w:szCs w:val="28"/>
        </w:rPr>
        <w:t xml:space="preserve">. </w:t>
      </w:r>
    </w:p>
    <w:p w14:paraId="6D982A33" w14:textId="7418AF2E" w:rsidR="00AA2A79" w:rsidRPr="00866D80" w:rsidRDefault="00AA2A79" w:rsidP="008206A3">
      <w:pPr>
        <w:spacing w:line="276" w:lineRule="auto"/>
        <w:jc w:val="both"/>
        <w:rPr>
          <w:rFonts w:cs="B Lotus"/>
          <w:b/>
          <w:bCs/>
          <w:sz w:val="28"/>
          <w:szCs w:val="28"/>
          <w:rtl/>
        </w:rPr>
      </w:pPr>
      <w:r w:rsidRPr="00866D80">
        <w:rPr>
          <w:rFonts w:cs="B Lotus" w:hint="cs"/>
          <w:b/>
          <w:bCs/>
          <w:sz w:val="28"/>
          <w:szCs w:val="28"/>
          <w:rtl/>
        </w:rPr>
        <w:t>کلیدواژه ها</w:t>
      </w:r>
      <w:r w:rsidR="000B1F12" w:rsidRPr="00866D80">
        <w:rPr>
          <w:rFonts w:cs="B Lotus" w:hint="cs"/>
          <w:b/>
          <w:bCs/>
          <w:sz w:val="28"/>
          <w:szCs w:val="28"/>
          <w:rtl/>
        </w:rPr>
        <w:t>:</w:t>
      </w:r>
      <w:r w:rsidR="000B1F12" w:rsidRPr="000D46FD">
        <w:rPr>
          <w:rFonts w:cs="B Lotus" w:hint="cs"/>
          <w:sz w:val="28"/>
          <w:szCs w:val="28"/>
          <w:rtl/>
        </w:rPr>
        <w:t>بزه دیدگان بالقوه</w:t>
      </w:r>
      <w:r w:rsidR="000B1F12" w:rsidRPr="00866D80">
        <w:rPr>
          <w:rFonts w:cs="B Lotus" w:hint="cs"/>
          <w:b/>
          <w:bCs/>
          <w:sz w:val="28"/>
          <w:szCs w:val="28"/>
          <w:rtl/>
        </w:rPr>
        <w:t xml:space="preserve"> ،</w:t>
      </w:r>
      <w:r w:rsidR="000B1F12" w:rsidRPr="00866D80">
        <w:rPr>
          <w:rFonts w:cs="B Lotus"/>
          <w:sz w:val="28"/>
          <w:szCs w:val="28"/>
          <w:rtl/>
        </w:rPr>
        <w:t xml:space="preserve"> معلولین، سالمندان، زنان بی‌سرپرست </w:t>
      </w:r>
      <w:r w:rsidR="000B1F12" w:rsidRPr="00866D80">
        <w:rPr>
          <w:rFonts w:cs="B Lotus" w:hint="cs"/>
          <w:sz w:val="28"/>
          <w:szCs w:val="28"/>
          <w:rtl/>
        </w:rPr>
        <w:t>،</w:t>
      </w:r>
      <w:r w:rsidR="000B1F12" w:rsidRPr="00866D80">
        <w:rPr>
          <w:rFonts w:cs="B Lotus"/>
          <w:sz w:val="28"/>
          <w:szCs w:val="28"/>
          <w:rtl/>
        </w:rPr>
        <w:t xml:space="preserve"> کودکان</w:t>
      </w:r>
      <w:r w:rsidR="000B1F12" w:rsidRPr="00866D80">
        <w:rPr>
          <w:rFonts w:cs="B Lotus" w:hint="cs"/>
          <w:sz w:val="28"/>
          <w:szCs w:val="28"/>
          <w:rtl/>
        </w:rPr>
        <w:t>.</w:t>
      </w:r>
    </w:p>
    <w:p w14:paraId="53604395" w14:textId="77777777" w:rsidR="000D46FD" w:rsidRDefault="000D46FD" w:rsidP="008206A3">
      <w:pPr>
        <w:spacing w:line="276" w:lineRule="auto"/>
        <w:jc w:val="both"/>
        <w:rPr>
          <w:rFonts w:cs="B Lotus"/>
          <w:b/>
          <w:bCs/>
          <w:sz w:val="28"/>
          <w:szCs w:val="28"/>
          <w:rtl/>
        </w:rPr>
      </w:pPr>
    </w:p>
    <w:p w14:paraId="381428D7" w14:textId="77777777" w:rsidR="000D46FD" w:rsidRDefault="000D46FD" w:rsidP="008206A3">
      <w:pPr>
        <w:spacing w:line="276" w:lineRule="auto"/>
        <w:jc w:val="both"/>
        <w:rPr>
          <w:rFonts w:cs="B Lotus"/>
          <w:b/>
          <w:bCs/>
          <w:sz w:val="28"/>
          <w:szCs w:val="28"/>
          <w:rtl/>
        </w:rPr>
      </w:pPr>
    </w:p>
    <w:p w14:paraId="1943EC3C" w14:textId="2F0D9B86" w:rsidR="00AA2A79" w:rsidRPr="00866D80" w:rsidRDefault="00AA2A79" w:rsidP="008206A3">
      <w:pPr>
        <w:spacing w:line="276" w:lineRule="auto"/>
        <w:jc w:val="both"/>
        <w:rPr>
          <w:rFonts w:cs="B Lotus"/>
          <w:b/>
          <w:bCs/>
          <w:sz w:val="28"/>
          <w:szCs w:val="28"/>
          <w:rtl/>
        </w:rPr>
      </w:pPr>
      <w:r w:rsidRPr="00866D80">
        <w:rPr>
          <w:rFonts w:cs="B Lotus" w:hint="cs"/>
          <w:b/>
          <w:bCs/>
          <w:sz w:val="28"/>
          <w:szCs w:val="28"/>
          <w:rtl/>
        </w:rPr>
        <w:t xml:space="preserve">مقدمه </w:t>
      </w:r>
    </w:p>
    <w:p w14:paraId="15E36FC3" w14:textId="77777777" w:rsidR="001910F1" w:rsidRPr="00866D80" w:rsidRDefault="001910F1" w:rsidP="008206A3">
      <w:pPr>
        <w:spacing w:line="276" w:lineRule="auto"/>
        <w:jc w:val="both"/>
        <w:rPr>
          <w:rFonts w:cs="B Lotus"/>
          <w:sz w:val="28"/>
          <w:szCs w:val="28"/>
          <w:rtl/>
        </w:rPr>
      </w:pPr>
      <w:r w:rsidRPr="00866D80">
        <w:rPr>
          <w:rFonts w:cs="B Lotus"/>
          <w:sz w:val="28"/>
          <w:szCs w:val="28"/>
          <w:rtl/>
        </w:rPr>
        <w:t>حمایت از بزه‌دیدگان بالقوه در نظام حقوقی ایران، به ویژه در مورد گروه‌های آسیب‌پذیر نظیر معلولین، سالمندان، زنان بی‌سرپرست و کودکان، یک مسأله پیچیده و چندوجهی است که نیازمند بررسی دقیق و جامع است. این پژوهش به دنبال تشریح وضعیت موجود و شناسایی جنبه‌های مجهول و مبهم در نظام حمایتی کشور است. یکی از جنبه‌های مبهم این است که آیا قوانین فعلی به طور مؤثر نیازهای این بزه‌دیدگان را تأمین می‌کند یا خیر. همچنین، متغیرهای مربوطه شامل نوع بزه‌دیدگی، ویژگی‌های فردی و اجتماعی بزه‌دیدگان و میزان حمایت‌های قانونی موجود می‌باشد. در این راستا، بررسی چالش‌ها و فرصت‌های موجود در حمایت از این گروه‌ها ضروری به نظر می‌رسد. برای نمونه، ممکن است قوانین موجود به دلیل عدم شفافیت یا ناکافی بودن، نتوانند به طور کامل از حقوق بزه‌دیدگان محافظت کنند. بنابراین، هدف از این پژوهش بررسی و تحلیل چالش‌ها و فرصت‌های موجود در حمایت از این گروه‌ها و ارائه راهکارهایی برای تقویت نظام حمایتی است</w:t>
      </w:r>
      <w:r w:rsidRPr="00866D80">
        <w:rPr>
          <w:rFonts w:cs="B Lotus" w:hint="cs"/>
          <w:sz w:val="28"/>
          <w:szCs w:val="28"/>
          <w:rtl/>
        </w:rPr>
        <w:t>.</w:t>
      </w:r>
    </w:p>
    <w:p w14:paraId="5685FEB7" w14:textId="50B39924" w:rsidR="004A76FC" w:rsidRPr="00866D80" w:rsidRDefault="001910F1" w:rsidP="008206A3">
      <w:pPr>
        <w:spacing w:line="276" w:lineRule="auto"/>
        <w:jc w:val="both"/>
        <w:rPr>
          <w:rStyle w:val="Strong"/>
          <w:rFonts w:cs="B Lotus"/>
          <w:sz w:val="28"/>
          <w:szCs w:val="28"/>
          <w:rtl/>
        </w:rPr>
      </w:pPr>
      <w:r w:rsidRPr="00866D80">
        <w:rPr>
          <w:rFonts w:cs="B Lotus"/>
          <w:sz w:val="28"/>
          <w:szCs w:val="28"/>
          <w:rtl/>
        </w:rPr>
        <w:t>این پژوهش به دلیل وجود اختلاف نظرها و خلأهای پژوهشی موجود در زمینه حمایت از بزه‌دیدگان بالقوه اهمیت دارد. با توجه به اینکه بسیاری از مطالعات پیشین به طور خاص به نیازهای گروه‌های آسیب‌پذیر توجه نکرده‌اند، نیاز به بررسی دقیق‌تر این موضوع احساس می‌شود. همچنین، فایده‌های نظری و عملی این پژوهش شامل ارتقاء آگاهی عمومی نسبت به حقوق بزه‌دیدگان و ارائه راهکارهای عملی برای حمایت از آن‌ها خواهد بود. با افزایش آمار بزه‌دیدگی در میان گروه‌های آسیب‌پذیر، ضرورت مطالعه در جامعه مورد نظر دوچندان شده است</w:t>
      </w:r>
      <w:r w:rsidR="004A76FC" w:rsidRPr="00866D80">
        <w:rPr>
          <w:rFonts w:cs="B Lotus" w:hint="cs"/>
          <w:sz w:val="28"/>
          <w:szCs w:val="28"/>
          <w:rtl/>
        </w:rPr>
        <w:t>.</w:t>
      </w:r>
      <w:r w:rsidRPr="00866D80">
        <w:rPr>
          <w:rFonts w:cs="B Lotus"/>
          <w:sz w:val="28"/>
          <w:szCs w:val="28"/>
          <w:rtl/>
        </w:rPr>
        <w:t xml:space="preserve"> در سال‌های اخیر، توجه بیشتری به حقوق بزه‌دیدگان در نظام‌های حقوقی مختلف شده است. مطالعاتی که بر روی بزه‌دیدگان جنسی، کودکان و سایر گروه‌های آسیب‌پذیر انجام شده‌اند، نشان‌دهنده نیاز به حمایت‌های خاص برای این افراد است. همچنین، اسناد بین‌المللی مانند "اعلامیه اصول بنیادی عدالت برای بزه‌دیدگان" بر لزوم حمایت از این گروه‌ها تأکید دارند. با وجود این پیشینه، هنوز هم بسیاری از جوانب مربوط به حمایت از بزه‌دیدگان بالقوه در ایران نادیده مانده‌اند یا نیازمند بازنگری هستند. بنابراین، پژوهش حاضر سعی دارد تا با بهره‌گیری از تجارب جهانی و مقایسه آن‌ها با وضعیت موجود در ایران، نقاط ضعف و قوت نظام حمایتی را شناسایی کند</w:t>
      </w:r>
      <w:r w:rsidR="004A76FC" w:rsidRPr="00866D80">
        <w:rPr>
          <w:rFonts w:cs="B Lotus" w:hint="cs"/>
          <w:sz w:val="28"/>
          <w:szCs w:val="28"/>
          <w:rtl/>
        </w:rPr>
        <w:t>.</w:t>
      </w:r>
    </w:p>
    <w:p w14:paraId="1A338319" w14:textId="0C20790B" w:rsidR="001910F1" w:rsidRPr="00866D80" w:rsidRDefault="001910F1" w:rsidP="008206A3">
      <w:pPr>
        <w:spacing w:line="276" w:lineRule="auto"/>
        <w:jc w:val="both"/>
        <w:rPr>
          <w:rFonts w:cs="B Lotus"/>
          <w:b/>
          <w:bCs/>
          <w:sz w:val="28"/>
          <w:szCs w:val="28"/>
          <w:rtl/>
        </w:rPr>
      </w:pPr>
      <w:r w:rsidRPr="00866D80">
        <w:rPr>
          <w:rFonts w:cs="B Lotus"/>
          <w:sz w:val="28"/>
          <w:szCs w:val="28"/>
          <w:rtl/>
        </w:rPr>
        <w:lastRenderedPageBreak/>
        <w:t xml:space="preserve">این پژوهش با تمرکز بر گروه‌های خاصی مانند معلولین، سالمندان، زنان بی‌سرپرست و کودکان، سعی دارد تا ابعاد جدیدی از حمایت حقوقی را مورد بررسی قرار دهد که کمتر مورد توجه قرار گرفته‌اند. اهداف اصلی این پژوهش شامل شناسایی نیازهای خاص بزه‌دیدگان بالقوه، تحلیل نقاط ضعف و قوت نظام حقوقی فعلی و ارائه راهکارهایی برای تقویت حمایت قانونی از این گروه‌ها است. سوالات اصلی پژوهش عبارتند از: چه نیازهایی برای حمایت از بزه‌دیدگان بالقوه وجود دارد؟ آیا قوانین فعلی توانایی تأمین این نیازها را دارند؟ چه تدابیری باید برای تقویت حمایت از این گروه‌ها اتخاذ شود؟ </w:t>
      </w:r>
    </w:p>
    <w:p w14:paraId="68387B67" w14:textId="59B0EED6" w:rsidR="00AA2A79" w:rsidRPr="00866D80" w:rsidRDefault="008206A3" w:rsidP="008206A3">
      <w:pPr>
        <w:spacing w:line="276" w:lineRule="auto"/>
        <w:jc w:val="both"/>
        <w:rPr>
          <w:rFonts w:cs="B Lotus"/>
          <w:b/>
          <w:bCs/>
          <w:sz w:val="28"/>
          <w:szCs w:val="28"/>
          <w:rtl/>
        </w:rPr>
      </w:pPr>
      <w:r w:rsidRPr="00866D80">
        <w:rPr>
          <w:rFonts w:cs="B Lotus" w:hint="cs"/>
          <w:b/>
          <w:bCs/>
          <w:sz w:val="28"/>
          <w:szCs w:val="28"/>
          <w:rtl/>
        </w:rPr>
        <w:t xml:space="preserve">1ـ </w:t>
      </w:r>
      <w:r w:rsidR="00AA2A79" w:rsidRPr="00866D80">
        <w:rPr>
          <w:rFonts w:cs="B Lotus" w:hint="cs"/>
          <w:b/>
          <w:bCs/>
          <w:sz w:val="28"/>
          <w:szCs w:val="28"/>
          <w:rtl/>
        </w:rPr>
        <w:t xml:space="preserve">مفاهیم </w:t>
      </w:r>
    </w:p>
    <w:bookmarkEnd w:id="2"/>
    <w:p w14:paraId="52E3738B" w14:textId="42F1EDD2" w:rsidR="00AA2A79" w:rsidRPr="00866D80" w:rsidRDefault="008206A3" w:rsidP="008206A3">
      <w:pPr>
        <w:spacing w:line="276" w:lineRule="auto"/>
        <w:jc w:val="both"/>
        <w:rPr>
          <w:rFonts w:cs="B Lotus"/>
          <w:b/>
          <w:bCs/>
          <w:sz w:val="28"/>
          <w:szCs w:val="28"/>
          <w:rtl/>
        </w:rPr>
      </w:pPr>
      <w:r w:rsidRPr="00866D80">
        <w:rPr>
          <w:rFonts w:cs="B Lotus" w:hint="cs"/>
          <w:b/>
          <w:bCs/>
          <w:sz w:val="28"/>
          <w:szCs w:val="28"/>
          <w:rtl/>
        </w:rPr>
        <w:t xml:space="preserve">1ـ 1ـ </w:t>
      </w:r>
      <w:r w:rsidR="001041E4" w:rsidRPr="00866D80">
        <w:rPr>
          <w:rFonts w:cs="B Lotus" w:hint="cs"/>
          <w:b/>
          <w:bCs/>
          <w:sz w:val="28"/>
          <w:szCs w:val="28"/>
          <w:rtl/>
        </w:rPr>
        <w:t xml:space="preserve">بزه دیده </w:t>
      </w:r>
    </w:p>
    <w:p w14:paraId="71F19533" w14:textId="77777777" w:rsidR="00AF3BCA" w:rsidRPr="00866D80" w:rsidRDefault="00AF3BCA" w:rsidP="008206A3">
      <w:pPr>
        <w:widowControl w:val="0"/>
        <w:spacing w:after="0" w:line="276" w:lineRule="auto"/>
        <w:jc w:val="both"/>
        <w:rPr>
          <w:rFonts w:ascii="Times New Roman" w:eastAsia="Times New Roman" w:hAnsi="Times New Roman" w:cs="B Lotus"/>
          <w:sz w:val="28"/>
          <w:szCs w:val="28"/>
          <w:rtl/>
        </w:rPr>
      </w:pPr>
      <w:r w:rsidRPr="00866D80">
        <w:rPr>
          <w:rFonts w:ascii="Times New Roman" w:hAnsi="Times New Roman" w:cs="B Lotus" w:hint="cs"/>
          <w:sz w:val="28"/>
          <w:szCs w:val="28"/>
          <w:rtl/>
          <w:lang w:val="fr-FR"/>
        </w:rPr>
        <w:t>بزه دیده به کسی اطلاق می شود که از طرف یک فرد بزهکار یا تحت شرایطی خاص ستم یا بزه را متحمل می شود. بزه دیده در حقیقت نقطه مقابل و قربانی بزه کاری است. خانواده بعنوان مهمترین نهاد اجتماعی نقش مهمی در سلامت افراد یک جامعه وظهور ایده های اجتماعی دارد و به گفته مازلو مهمترین نیازهای بشری مانند نیازهای فیزیولوژی، امنیت، نظم، عشق و احترام در خانواده پاسخ داده می شود. جامعه شناسان و روان شناسان معتقدند کمبود و نارسایی در محبت، تبعیض در خانواده، کسرت فرزندان، تک فرزندی، بی بندوباری در روابط والدین، مهاجرت، محله مسکونی خانواده، ازدواج مجدد، تفاوتهای سنی و جنسی، زندگی با نامادری و ناپدری و نظایر آن در فراهم کردن زمینه های بزه و بزه دیدگی مؤثرند.</w:t>
      </w:r>
      <w:r w:rsidRPr="00866D80">
        <w:rPr>
          <w:rFonts w:ascii="Times New Roman" w:eastAsia="Times New Roman" w:hAnsi="Times New Roman" w:cs="B Lotus" w:hint="cs"/>
          <w:sz w:val="28"/>
          <w:szCs w:val="28"/>
          <w:rtl/>
        </w:rPr>
        <w:t xml:space="preserve"> </w:t>
      </w:r>
    </w:p>
    <w:p w14:paraId="5BF5B10D"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 xml:space="preserve">از مهمترین شرایط و عوامل زمینه ساز بزه و بزه دیدگی می توان به خشونتهای خانواده بخصوص والدین، بی اعتقادی آنان، سطح درآمد (پایین یا بالا)، میزان تحصیلات، اعتیاد و طلاق و نظایرآن اشاره کرد. </w:t>
      </w:r>
    </w:p>
    <w:p w14:paraId="7B96234D"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نتایج تحقیقی که در سال 1380 در استان گلستان انجام شده نشان می دهد که بعلت ازدیاد اقوام مختلف در این منطقه اعتیاد بعنوان مهمترین عامل در بروز تعارضات خانوادگی و ارتکاب جرم فرزندان محسوب می شود .همچنین بی سوادی والدین در افزایش بزه فرزندان مؤثر است از سوی دیگر بیشترین افراد بزهکار متعلق به خانواده های از هم پاشیده می‌باشد. بطور کلی برای پیشگیری و عدم گسترش بزه باید ابتدا سه اولویت را در نظر گرفت؛ عموم مردم، افراد در معرض خطر و توجه به بزه دیدگان. که در این راستا توسعه نهادی یعنی توجه به خانواده، ارزشهای آن، مراقبت از فرزندان، آموزش والدین بخصوص زوج‌های جوان در برخورد با فرزندان و چگونگی تسلط و نظارت بر آن از اهمیت ویژه ای برخوردار است.</w:t>
      </w:r>
    </w:p>
    <w:p w14:paraId="49D52A2C"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 xml:space="preserve">بزه دیده به کسی اطلاق می شود که توسط یک فرد بزهکار یا تحت شرایطی خاص مثلاً اختلال روانی </w:t>
      </w:r>
      <w:r w:rsidRPr="00866D80">
        <w:rPr>
          <w:rFonts w:ascii="Times New Roman" w:hAnsi="Times New Roman" w:cs="B Lotus" w:hint="cs"/>
          <w:sz w:val="28"/>
          <w:szCs w:val="28"/>
          <w:rtl/>
          <w:lang w:val="fr-FR"/>
        </w:rPr>
        <w:lastRenderedPageBreak/>
        <w:t>والدین، طلاق، تعارض های تربیتی، ضعف نظام های حمایتی اجتماعی یا ضعف های شخصیتی خود ، ستم و بزه را متحمل می شود. بزه دیده</w:t>
      </w:r>
      <w:r w:rsidRPr="00866D80">
        <w:rPr>
          <w:rStyle w:val="FootnoteReference"/>
          <w:rFonts w:ascii="Times New Roman" w:hAnsi="Times New Roman" w:cs="B Lotus"/>
          <w:sz w:val="28"/>
          <w:szCs w:val="28"/>
          <w:rtl/>
          <w:lang w:val="fr-FR"/>
        </w:rPr>
        <w:footnoteReference w:id="1"/>
      </w:r>
      <w:r w:rsidRPr="00866D80">
        <w:rPr>
          <w:rFonts w:ascii="Times New Roman" w:hAnsi="Times New Roman" w:cs="B Lotus" w:hint="cs"/>
          <w:sz w:val="28"/>
          <w:szCs w:val="28"/>
          <w:rtl/>
          <w:lang w:val="fr-FR"/>
        </w:rPr>
        <w:t xml:space="preserve"> در حقیقت نقطه مقابل بزهکار</w:t>
      </w:r>
      <w:r w:rsidRPr="00866D80">
        <w:rPr>
          <w:rStyle w:val="FootnoteReference"/>
          <w:rFonts w:ascii="Times New Roman" w:hAnsi="Times New Roman" w:cs="B Lotus"/>
          <w:sz w:val="28"/>
          <w:szCs w:val="28"/>
          <w:rtl/>
          <w:lang w:val="fr-FR"/>
        </w:rPr>
        <w:footnoteReference w:id="2"/>
      </w:r>
      <w:r w:rsidRPr="00866D80">
        <w:rPr>
          <w:rFonts w:ascii="Times New Roman" w:hAnsi="Times New Roman" w:cs="B Lotus" w:hint="cs"/>
          <w:sz w:val="28"/>
          <w:szCs w:val="28"/>
          <w:rtl/>
          <w:lang w:val="fr-FR"/>
        </w:rPr>
        <w:t xml:space="preserve"> می باشد. بزه دیدگان قربانیان بزهکاری هستند و مصایب آن را تحمل می کنند</w:t>
      </w:r>
      <w:r w:rsidRPr="00866D80">
        <w:rPr>
          <w:rStyle w:val="FootnoteReference"/>
          <w:rFonts w:ascii="Times New Roman" w:hAnsi="Times New Roman" w:cs="B Lotus"/>
          <w:sz w:val="28"/>
          <w:szCs w:val="28"/>
          <w:rtl/>
          <w:lang w:val="fr-FR"/>
        </w:rPr>
        <w:footnoteReference w:id="3"/>
      </w:r>
      <w:r w:rsidRPr="00866D80">
        <w:rPr>
          <w:rFonts w:ascii="Times New Roman" w:hAnsi="Times New Roman" w:cs="B Lotus" w:hint="cs"/>
          <w:sz w:val="28"/>
          <w:szCs w:val="28"/>
          <w:rtl/>
          <w:lang w:val="fr-FR"/>
        </w:rPr>
        <w:t xml:space="preserve">. مفاهیم اولیه بزه دیده شناسی را شعرا، نویسندگان و داستان سرایان بنا نهاده اند.اولین برخورد نظام مند با قربانیان بزه در سال 1948 در کتاب هانس فون هنتیک تحت عنوان «بزهکار و قربانی او» پدیدار شد. </w:t>
      </w:r>
    </w:p>
    <w:p w14:paraId="11BFB4BA"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واژه بزه دیده شناسی را در سال 1949 یک روانپزشک امریکایی به نام « فرد ریک ورسام » وضع کرد و در کتاب خود با عنوان نمایش خشونت به کار برد.</w:t>
      </w:r>
    </w:p>
    <w:p w14:paraId="0284F5C7"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در خلال سالیان نخست بزه دیده شناسی، متون قربانیان بزه در مقایسه با متون جرم شناسی رشد نسبتاً کمی داشت. اما طی دهه 80 نشر عظیمی از کتابها و مقالات ارزنده نشان از ظهور عصر بزه دیده شناسی داشت.</w:t>
      </w:r>
    </w:p>
    <w:p w14:paraId="41D57B3B"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 xml:space="preserve">از طرفداران شدید بزه دیده شناسی عمومی جهان رابرت الیاس دانشمند سیاست پیشینه در دانشگاه سان فرانسیسکو است .در سالهای دهه 1970 مطالعات فردی قربانیان جرایم خاص تحت تأثیر مطالعات کلی بزه دیدگی قرار گرفت. </w:t>
      </w:r>
    </w:p>
    <w:p w14:paraId="35E55928" w14:textId="77777777" w:rsidR="00AF3BCA" w:rsidRPr="00866D80" w:rsidRDefault="00AF3BCA" w:rsidP="008206A3">
      <w:pPr>
        <w:widowControl w:val="0"/>
        <w:spacing w:after="0" w:line="276" w:lineRule="auto"/>
        <w:ind w:firstLine="281"/>
        <w:jc w:val="both"/>
        <w:rPr>
          <w:rFonts w:ascii="Times New Roman" w:hAnsi="Times New Roman" w:cs="B Lotus"/>
          <w:sz w:val="28"/>
          <w:szCs w:val="28"/>
          <w:rtl/>
          <w:lang w:val="fr-FR"/>
        </w:rPr>
      </w:pPr>
      <w:r w:rsidRPr="00866D80">
        <w:rPr>
          <w:rFonts w:ascii="Times New Roman" w:hAnsi="Times New Roman" w:cs="B Lotus" w:hint="cs"/>
          <w:sz w:val="28"/>
          <w:szCs w:val="28"/>
          <w:rtl/>
          <w:lang w:val="fr-FR"/>
        </w:rPr>
        <w:t>در طی 25 سال اخیر بزه شناسی دچار تغییر و تحول عمده ای گردید. بزه دیده شناسی اولیه جنبه نظری داشت که کم کم با تحقیقات افرادی نظیر آلن برگر، کورتیس، سیلورمن جنبه ی کاربردی پیدا کرد نشست های بزه دید شناسی آن را از یک نظام دانشگاهی به یک جنبش انسانی و از تحقیق علمی به عمل گرایی سیاسی تبدیل کرد، چنانکه در نخستین کنفرانس ملی قربانیان بزه (تورنتو، 1985) جنبش بزه دیده صفت توسعه یافته دهه نامیده شد</w:t>
      </w:r>
      <w:r w:rsidRPr="00866D80">
        <w:rPr>
          <w:rStyle w:val="FootnoteReference"/>
          <w:rFonts w:ascii="Times New Roman" w:hAnsi="Times New Roman" w:cs="B Lotus"/>
          <w:sz w:val="28"/>
          <w:szCs w:val="28"/>
          <w:rtl/>
          <w:lang w:val="fr-FR"/>
        </w:rPr>
        <w:footnoteReference w:id="4"/>
      </w:r>
      <w:r w:rsidRPr="00866D80">
        <w:rPr>
          <w:rFonts w:ascii="Times New Roman" w:hAnsi="Times New Roman" w:cs="B Lotus" w:hint="cs"/>
          <w:sz w:val="28"/>
          <w:szCs w:val="28"/>
          <w:rtl/>
          <w:lang w:val="fr-FR"/>
        </w:rPr>
        <w:t>.</w:t>
      </w:r>
    </w:p>
    <w:p w14:paraId="3A9A3264" w14:textId="77777777" w:rsidR="00AF3BCA" w:rsidRPr="00866D80" w:rsidRDefault="00AF3BCA" w:rsidP="008206A3">
      <w:pPr>
        <w:widowControl w:val="0"/>
        <w:spacing w:after="0" w:line="276" w:lineRule="auto"/>
        <w:ind w:firstLine="281"/>
        <w:jc w:val="both"/>
        <w:rPr>
          <w:rFonts w:ascii="Times New Roman" w:eastAsia="Times New Roman" w:hAnsi="Times New Roman" w:cs="B Lotus"/>
          <w:sz w:val="28"/>
          <w:szCs w:val="28"/>
          <w:rtl/>
        </w:rPr>
      </w:pPr>
      <w:r w:rsidRPr="00866D80">
        <w:rPr>
          <w:rFonts w:ascii="Calibri" w:eastAsia="Times New Roman" w:hAnsi="Calibri" w:cs="Calibri" w:hint="cs"/>
          <w:sz w:val="28"/>
          <w:szCs w:val="28"/>
          <w:rtl/>
        </w:rPr>
        <w:t> </w:t>
      </w:r>
    </w:p>
    <w:p w14:paraId="02076D1D" w14:textId="6CDE10B8" w:rsidR="00AF3BCA" w:rsidRPr="00866D80" w:rsidRDefault="008206A3" w:rsidP="008206A3">
      <w:pPr>
        <w:spacing w:line="276" w:lineRule="auto"/>
        <w:jc w:val="both"/>
        <w:rPr>
          <w:rFonts w:cs="B Lotus"/>
          <w:b/>
          <w:bCs/>
          <w:sz w:val="28"/>
          <w:szCs w:val="28"/>
          <w:rtl/>
        </w:rPr>
      </w:pPr>
      <w:r w:rsidRPr="00866D80">
        <w:rPr>
          <w:rFonts w:cs="B Lotus" w:hint="cs"/>
          <w:b/>
          <w:bCs/>
          <w:sz w:val="28"/>
          <w:szCs w:val="28"/>
          <w:rtl/>
        </w:rPr>
        <w:t xml:space="preserve">1ـ 2ـ </w:t>
      </w:r>
      <w:r w:rsidR="00AF3BCA" w:rsidRPr="00866D80">
        <w:rPr>
          <w:rFonts w:cs="B Lotus"/>
          <w:b/>
          <w:bCs/>
          <w:sz w:val="28"/>
          <w:szCs w:val="28"/>
          <w:rtl/>
        </w:rPr>
        <w:t>بزه د</w:t>
      </w:r>
      <w:r w:rsidR="00AF3BCA" w:rsidRPr="00866D80">
        <w:rPr>
          <w:rFonts w:cs="B Lotus" w:hint="cs"/>
          <w:b/>
          <w:bCs/>
          <w:sz w:val="28"/>
          <w:szCs w:val="28"/>
          <w:rtl/>
        </w:rPr>
        <w:t>ی</w:t>
      </w:r>
      <w:r w:rsidR="00AF3BCA" w:rsidRPr="00866D80">
        <w:rPr>
          <w:rFonts w:cs="B Lotus" w:hint="eastAsia"/>
          <w:b/>
          <w:bCs/>
          <w:sz w:val="28"/>
          <w:szCs w:val="28"/>
          <w:rtl/>
        </w:rPr>
        <w:t>دگان</w:t>
      </w:r>
      <w:r w:rsidR="00AF3BCA" w:rsidRPr="00866D80">
        <w:rPr>
          <w:rFonts w:cs="B Lotus"/>
          <w:b/>
          <w:bCs/>
          <w:sz w:val="28"/>
          <w:szCs w:val="28"/>
          <w:rtl/>
        </w:rPr>
        <w:t xml:space="preserve"> بالقوه</w:t>
      </w:r>
    </w:p>
    <w:p w14:paraId="564283DB" w14:textId="343A364F" w:rsidR="000A5E92" w:rsidRPr="00866D80" w:rsidRDefault="00AF3BCA" w:rsidP="008206A3">
      <w:pPr>
        <w:spacing w:after="0" w:line="276" w:lineRule="auto"/>
        <w:jc w:val="both"/>
        <w:rPr>
          <w:rFonts w:ascii="Times New Roman" w:eastAsia="Times New Roman" w:hAnsi="Times New Roman" w:cs="B Lotus"/>
          <w:sz w:val="28"/>
          <w:szCs w:val="28"/>
          <w:rtl/>
          <w:lang w:bidi="ar-SA"/>
        </w:rPr>
      </w:pPr>
      <w:r w:rsidRPr="00866D80">
        <w:rPr>
          <w:rFonts w:ascii="Times New Roman" w:eastAsia="Times New Roman" w:hAnsi="Times New Roman" w:cs="B Lotus"/>
          <w:sz w:val="28"/>
          <w:szCs w:val="28"/>
          <w:rtl/>
          <w:lang w:bidi="ar-SA"/>
        </w:rPr>
        <w:t xml:space="preserve">بزه‌دیدگان بالقوه به افرادی اطلاق می‌شود که به دلیل ویژگی‌های خاص خود، در معرض خطر بزه‌دیدگی قرار دارند. این گروه از افراد معمولاً به دلیل شرایط اجتماعی، اقتصادی یا جسمی خود، بیشتر از سایرین در معرض آسیب‌های ناشی از جرایم قرار می‌گیرند. بزه‌دیدگان بالقوه شامل گروه‌های آسیب‌پذیری نظیر کودکان، سالمندان، معلولین و زنان بی‌سرپرست هستند. این افراد به دلیل ناتوانی در دفاع از خود یا عدم دسترسی به </w:t>
      </w:r>
      <w:r w:rsidRPr="00866D80">
        <w:rPr>
          <w:rFonts w:ascii="Times New Roman" w:eastAsia="Times New Roman" w:hAnsi="Times New Roman" w:cs="B Lotus"/>
          <w:sz w:val="28"/>
          <w:szCs w:val="28"/>
          <w:rtl/>
          <w:lang w:bidi="ar-SA"/>
        </w:rPr>
        <w:lastRenderedPageBreak/>
        <w:t xml:space="preserve">منابع حمایتی، هدف آسان‌تری برای بزهکاران محسوب می‌شوند. به عنوان مثال، کودکان به دلیل عدم آگاهی از خطرات و ناتوانی در تشخیص تهدیدات، و سالمندان به دلیل ضعف جسمانی و تنهایی، بیشتر در معرض بزه‌دیدگی قرار دارند </w:t>
      </w:r>
      <w:r w:rsidR="008206A3" w:rsidRPr="00866D80">
        <w:rPr>
          <w:rFonts w:ascii="Times New Roman" w:eastAsia="Times New Roman" w:hAnsi="Times New Roman" w:cs="B Lotus" w:hint="cs"/>
          <w:sz w:val="28"/>
          <w:szCs w:val="28"/>
          <w:rtl/>
          <w:lang w:bidi="ar-SA"/>
        </w:rPr>
        <w:t>.</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 xml:space="preserve">تحقیقات نشان می‌دهد که بزهکاران معمولاً به دنبال اهدافی هستند که به راحتی قابل دسترسی باشند. بنابراین، وجود ویژگی‌هایی مانند تنهایی، ناتوانی جسمی یا عدم آگاهی نسبت به خطرات می‌تواند فرد را به یک بزه‌دیدگان بالقوه تبدیل کند </w:t>
      </w:r>
      <w:r w:rsidR="008206A3" w:rsidRPr="00866D80">
        <w:rPr>
          <w:rFonts w:ascii="Times New Roman" w:eastAsia="Times New Roman" w:hAnsi="Times New Roman" w:cs="B Lotus" w:hint="cs"/>
          <w:sz w:val="28"/>
          <w:szCs w:val="28"/>
          <w:rtl/>
          <w:lang w:bidi="ar-SA"/>
        </w:rPr>
        <w:t>.</w:t>
      </w:r>
      <w:r w:rsidR="008206A3" w:rsidRPr="00866D80">
        <w:rPr>
          <w:rStyle w:val="FootnoteReference"/>
          <w:rFonts w:ascii="Times New Roman" w:eastAsia="Times New Roman" w:hAnsi="Times New Roman" w:cs="B Lotus"/>
          <w:sz w:val="28"/>
          <w:szCs w:val="28"/>
          <w:rtl/>
          <w:lang w:bidi="ar-SA"/>
        </w:rPr>
        <w:footnoteReference w:id="5"/>
      </w:r>
      <w:r w:rsidRPr="00866D80">
        <w:rPr>
          <w:rFonts w:ascii="Times New Roman" w:eastAsia="Times New Roman" w:hAnsi="Times New Roman" w:cs="B Lotus"/>
          <w:sz w:val="28"/>
          <w:szCs w:val="28"/>
          <w:rtl/>
          <w:lang w:bidi="ar-SA"/>
        </w:rPr>
        <w:t xml:space="preserve"> همچنین، عوامل اجتماعی مانند فقر، عدم آموزش و نبود حمایت‌های اجتماعی نیز نقش مهمی در افزایش آسیب‌پذیری این گروه‌ها دارند. برای مثال، زنان بی‌سرپرست که به دلیل فقدان حمایت اقتصادی و اجتماعی در شرایط دشواری زندگی می‌کنند، بیشتر در معرض خطرات اجتماعی و اقتصادی قرار دارند</w:t>
      </w:r>
      <w:r w:rsidR="008206A3" w:rsidRPr="00866D80">
        <w:rPr>
          <w:rFonts w:ascii="Times New Roman" w:eastAsia="Times New Roman" w:hAnsi="Times New Roman" w:cs="B Lotus" w:hint="cs"/>
          <w:sz w:val="28"/>
          <w:szCs w:val="28"/>
          <w:rtl/>
          <w:lang w:bidi="ar-SA"/>
        </w:rPr>
        <w:t>.</w:t>
      </w:r>
      <w:r w:rsidRPr="00866D80">
        <w:rPr>
          <w:rFonts w:ascii="Times New Roman" w:eastAsia="Times New Roman" w:hAnsi="Times New Roman" w:cs="B Lotus"/>
          <w:sz w:val="28"/>
          <w:szCs w:val="28"/>
          <w:rtl/>
          <w:lang w:bidi="ar-SA"/>
        </w:rPr>
        <w:t xml:space="preserve">علاوه بر این، نظریه قربانی‌شناسی بر این نکته تأکید دارد که برخی افراد به طور طبیعی بیشتر از دیگران در معرض خطر بزه‌دیدگی هستند. این نظریه تلاش می‌کند تا با شناسایی ویژگی‌های شخصی و اجتماعی بزه‌دیدگان بالقوه، راهکارهایی برای کاهش خطرات و حمایت از آن‌ها ارائه دهد </w:t>
      </w:r>
      <w:r w:rsidR="008206A3" w:rsidRPr="00866D80">
        <w:rPr>
          <w:rFonts w:ascii="Times New Roman" w:eastAsia="Times New Roman" w:hAnsi="Times New Roman" w:cs="B Lotus" w:hint="cs"/>
          <w:sz w:val="28"/>
          <w:szCs w:val="28"/>
          <w:rtl/>
          <w:lang w:bidi="ar-SA"/>
        </w:rPr>
        <w:t>.</w:t>
      </w:r>
      <w:r w:rsidRPr="00866D80">
        <w:rPr>
          <w:rFonts w:ascii="Times New Roman" w:eastAsia="Times New Roman" w:hAnsi="Times New Roman" w:cs="B Lotus"/>
          <w:sz w:val="28"/>
          <w:szCs w:val="28"/>
          <w:rtl/>
          <w:lang w:bidi="ar-SA"/>
        </w:rPr>
        <w:t>برای نمونه، کودکانی که در محیط‌های ناامن زندگی می‌کنند یا سالمندانی که به تنهایی زندگی می‌کنند، بیشتر در معرض خطرات ناشی از بزهکاری قرار دارند</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در نظام حقوقی ایران، توجه به بزه‌دیدگان بالقوه و ارائه حمایت‌های قانونی مناسب از اهمیت ویژه‌ای برخوردار است. با وجود وجود برخی قوانین و مقررات حمایتی، هنوز هم بسیاری از نیازهای این گروه‌ها نادیده مانده‌اند و نیازمند بازنگری و تقویت هستند.</w:t>
      </w:r>
      <w:r w:rsidRPr="00866D80">
        <w:rPr>
          <w:rFonts w:ascii="Times New Roman" w:eastAsia="Times New Roman" w:hAnsi="Times New Roman" w:cs="B Lotus"/>
          <w:sz w:val="28"/>
          <w:szCs w:val="28"/>
          <w:lang w:bidi="ar-SA"/>
        </w:rPr>
        <w:t xml:space="preserve">. </w:t>
      </w:r>
    </w:p>
    <w:p w14:paraId="50C94219" w14:textId="3842459F" w:rsidR="000A5E92" w:rsidRPr="00866D80" w:rsidRDefault="000A5E92" w:rsidP="008206A3">
      <w:pPr>
        <w:pStyle w:val="CommentText"/>
        <w:bidi/>
        <w:spacing w:line="276" w:lineRule="auto"/>
        <w:jc w:val="both"/>
        <w:rPr>
          <w:rFonts w:cs="B Lotus"/>
          <w:b/>
          <w:bCs/>
          <w:sz w:val="28"/>
          <w:szCs w:val="28"/>
          <w:rtl/>
        </w:rPr>
      </w:pPr>
      <w:r w:rsidRPr="00866D80">
        <w:rPr>
          <w:rFonts w:ascii="B Lotus" w:cs="B Lotus" w:hint="cs"/>
          <w:b/>
          <w:bCs/>
          <w:sz w:val="28"/>
          <w:szCs w:val="28"/>
          <w:rtl/>
        </w:rPr>
        <w:t>2- حمایت از بزه دیده در قوانین کیفری</w:t>
      </w:r>
    </w:p>
    <w:p w14:paraId="53F9953E" w14:textId="77777777" w:rsidR="000A5E92" w:rsidRPr="00866D80" w:rsidRDefault="000A5E92" w:rsidP="008206A3">
      <w:pPr>
        <w:pStyle w:val="CommentText"/>
        <w:bidi/>
        <w:spacing w:line="276" w:lineRule="auto"/>
        <w:jc w:val="both"/>
        <w:rPr>
          <w:rFonts w:cs="B Lotus"/>
          <w:sz w:val="28"/>
          <w:szCs w:val="28"/>
        </w:rPr>
      </w:pPr>
      <w:r w:rsidRPr="00866D80">
        <w:rPr>
          <w:rFonts w:ascii="B Lotus" w:cs="B Lotus"/>
          <w:sz w:val="28"/>
          <w:szCs w:val="28"/>
          <w:rtl/>
        </w:rPr>
        <w:t>بزه دیده شناسی حمایتی؛ از آغاز سال های 1970 میلادی جریان‌های عقیدتی</w:t>
      </w:r>
      <w:r w:rsidRPr="00866D80">
        <w:rPr>
          <w:rFonts w:cs="B Lotus"/>
          <w:sz w:val="28"/>
          <w:szCs w:val="28"/>
        </w:rPr>
        <w:t xml:space="preserve"> - </w:t>
      </w:r>
      <w:r w:rsidRPr="00866D80">
        <w:rPr>
          <w:rFonts w:ascii="B Lotus" w:cs="B Lotus"/>
          <w:sz w:val="28"/>
          <w:szCs w:val="28"/>
          <w:rtl/>
        </w:rPr>
        <w:t xml:space="preserve">ارزشی با انتقاد به دیدگاه های بزه دیده شناسی علمی، بحث حمایت از بزه‌دیدگان را به میان کشیدند. </w:t>
      </w:r>
      <w:r w:rsidRPr="00866D80">
        <w:rPr>
          <w:rStyle w:val="FootnoteReference"/>
          <w:rFonts w:ascii="B Lotus" w:cs="B Lotus"/>
          <w:sz w:val="28"/>
          <w:szCs w:val="28"/>
          <w:rtl/>
        </w:rPr>
        <w:footnoteReference w:id="6"/>
      </w:r>
      <w:r w:rsidRPr="00866D80">
        <w:rPr>
          <w:rFonts w:ascii="B Lotus" w:cs="B Lotus"/>
          <w:sz w:val="28"/>
          <w:szCs w:val="28"/>
          <w:rtl/>
        </w:rPr>
        <w:t>طرفداران این بزه دیده شناسی با این استدلال که</w:t>
      </w:r>
      <w:r w:rsidRPr="00866D80">
        <w:rPr>
          <w:rFonts w:ascii="Calibri" w:hAnsi="Calibri" w:cs="Calibri" w:hint="cs"/>
          <w:sz w:val="28"/>
          <w:szCs w:val="28"/>
          <w:rtl/>
        </w:rPr>
        <w:t> </w:t>
      </w:r>
      <w:r w:rsidRPr="00866D80">
        <w:rPr>
          <w:rFonts w:ascii="B Lotus" w:cs="B Lotus"/>
          <w:sz w:val="28"/>
          <w:szCs w:val="28"/>
          <w:rtl/>
        </w:rPr>
        <w:t xml:space="preserve"> بزه‌دیده یا افراد تحت تکفل و وابسته به او در هر حال بزه دیدگی را تجربه کرده و متحمل مشکلات مادّی، معنوی و روانی و عاطفی شده اند، بر این باورند که نظام کیفری، باید در سیاستگذاری های تقنینی - قضائی خود، مصالح و منافع بزه دیدگان را بیش از گذشته، مورد توجه قرار داده و به جبران خسارت مادی او و مجازات بزهکار برای تسکین خاطر بزه‌دیدگان بسنده نکنند. بلکه دولت و جامعه مدنی به نوعی در ترمیم مادی، معنوی و روانی زیان دیده از جرم سهیم باشند</w:t>
      </w:r>
      <w:r w:rsidRPr="00866D80">
        <w:rPr>
          <w:rFonts w:cs="B Lotus"/>
          <w:sz w:val="28"/>
          <w:szCs w:val="28"/>
        </w:rPr>
        <w:t>.</w:t>
      </w:r>
      <w:r w:rsidRPr="00866D80">
        <w:rPr>
          <w:rStyle w:val="FootnoteReference"/>
          <w:rFonts w:cs="B Lotus"/>
          <w:sz w:val="28"/>
          <w:szCs w:val="28"/>
        </w:rPr>
        <w:footnoteReference w:id="7"/>
      </w:r>
    </w:p>
    <w:p w14:paraId="28DF5566" w14:textId="6BA02314" w:rsidR="000A5E92" w:rsidRPr="00866D80" w:rsidRDefault="008206A3" w:rsidP="008206A3">
      <w:pPr>
        <w:tabs>
          <w:tab w:val="right" w:pos="9360"/>
        </w:tabs>
        <w:spacing w:after="0" w:line="276" w:lineRule="auto"/>
        <w:jc w:val="both"/>
        <w:rPr>
          <w:rFonts w:ascii="Times New Roman" w:hAnsi="Times New Roman" w:cs="B Lotus"/>
          <w:b/>
          <w:bCs/>
          <w:sz w:val="28"/>
          <w:szCs w:val="28"/>
          <w:rtl/>
        </w:rPr>
      </w:pPr>
      <w:r w:rsidRPr="00866D80">
        <w:rPr>
          <w:rFonts w:ascii="B Lotus" w:hAnsi="Times New Roman" w:cs="B Lotus" w:hint="cs"/>
          <w:b/>
          <w:bCs/>
          <w:sz w:val="28"/>
          <w:szCs w:val="28"/>
          <w:rtl/>
        </w:rPr>
        <w:lastRenderedPageBreak/>
        <w:t xml:space="preserve">2ـ 1ـ </w:t>
      </w:r>
      <w:r w:rsidR="000A5E92" w:rsidRPr="00866D80">
        <w:rPr>
          <w:rFonts w:ascii="B Lotus" w:hAnsi="Times New Roman" w:cs="B Lotus" w:hint="cs"/>
          <w:b/>
          <w:bCs/>
          <w:sz w:val="28"/>
          <w:szCs w:val="28"/>
          <w:rtl/>
        </w:rPr>
        <w:t xml:space="preserve"> حمایت از بزه دیده بلافاصله پس از تحقق جرم</w:t>
      </w:r>
    </w:p>
    <w:p w14:paraId="1ADBF6C9" w14:textId="77777777" w:rsidR="000A5E92" w:rsidRPr="00866D80" w:rsidRDefault="000A5E92" w:rsidP="008206A3">
      <w:pPr>
        <w:tabs>
          <w:tab w:val="right" w:pos="9360"/>
        </w:tabs>
        <w:spacing w:after="0" w:line="276" w:lineRule="auto"/>
        <w:jc w:val="both"/>
        <w:rPr>
          <w:rFonts w:ascii="Times New Roman" w:hAnsi="Times New Roman" w:cs="B Lotus"/>
          <w:sz w:val="28"/>
          <w:szCs w:val="28"/>
          <w:rtl/>
        </w:rPr>
      </w:pPr>
      <w:r w:rsidRPr="00866D80">
        <w:rPr>
          <w:rFonts w:ascii="B Lotus" w:hAnsi="Times New Roman" w:cs="B Lotus" w:hint="cs"/>
          <w:sz w:val="28"/>
          <w:szCs w:val="28"/>
          <w:rtl/>
        </w:rPr>
        <w:t>فرد بزه دیده غالباً انسان ضعیفی است که ضعف و ناتوانیش، وی را به یک انسان آسیب</w:t>
      </w:r>
      <w:r w:rsidRPr="00866D80">
        <w:rPr>
          <w:rFonts w:ascii="B Lotus" w:hAnsi="Times New Roman" w:cs="B Lotus" w:hint="cs"/>
          <w:sz w:val="28"/>
          <w:szCs w:val="28"/>
          <w:rtl/>
        </w:rPr>
        <w:br/>
        <w:t xml:space="preserve">پذیر و نهایتاً یک بزه دیده بالفعل مبدل ساخته است و طبیعی است چنین فردی نیازهای متعددی دارد. </w:t>
      </w:r>
    </w:p>
    <w:p w14:paraId="03973080" w14:textId="77777777" w:rsidR="000A5E92" w:rsidRPr="00866D80" w:rsidRDefault="000A5E92" w:rsidP="008206A3">
      <w:pPr>
        <w:tabs>
          <w:tab w:val="right" w:pos="9360"/>
        </w:tabs>
        <w:spacing w:after="0" w:line="276" w:lineRule="auto"/>
        <w:jc w:val="both"/>
        <w:rPr>
          <w:rFonts w:ascii="Times New Roman" w:hAnsi="Times New Roman" w:cs="B Lotus"/>
          <w:b/>
          <w:bCs/>
          <w:sz w:val="28"/>
          <w:szCs w:val="28"/>
          <w:rtl/>
        </w:rPr>
      </w:pPr>
      <w:r w:rsidRPr="00866D80">
        <w:rPr>
          <w:rFonts w:ascii="B Lotus" w:hAnsi="Times New Roman" w:cs="B Lotus" w:hint="cs"/>
          <w:sz w:val="28"/>
          <w:szCs w:val="28"/>
          <w:rtl/>
        </w:rPr>
        <w:t>آنچه مهم است شناخت نیازمندی ها و تامین آن براساس اولویت های منطقی است.به نظر می رسد اولین نیاز بزه دیدگان پس از وقوع جرم تلاش در جهت تقلیل و تسکین آسیب های جسمی و روحی آنان است.</w:t>
      </w:r>
      <w:r w:rsidRPr="00866D80">
        <w:rPr>
          <w:rStyle w:val="FootnoteReference"/>
          <w:rFonts w:ascii="B Lotus" w:hAnsi="Times New Roman" w:cs="B Lotus"/>
          <w:sz w:val="28"/>
          <w:szCs w:val="28"/>
          <w:rtl/>
        </w:rPr>
        <w:footnoteReference w:id="8"/>
      </w:r>
    </w:p>
    <w:p w14:paraId="5A2C49CF" w14:textId="4FE8C16B" w:rsidR="000A5E92" w:rsidRPr="00866D80" w:rsidRDefault="008206A3" w:rsidP="008206A3">
      <w:pPr>
        <w:tabs>
          <w:tab w:val="right" w:pos="9360"/>
        </w:tabs>
        <w:spacing w:after="0" w:line="276" w:lineRule="auto"/>
        <w:jc w:val="both"/>
        <w:rPr>
          <w:rFonts w:ascii="Times New Roman" w:hAnsi="Times New Roman" w:cs="B Lotus"/>
          <w:b/>
          <w:bCs/>
          <w:sz w:val="28"/>
          <w:szCs w:val="28"/>
        </w:rPr>
      </w:pPr>
      <w:r w:rsidRPr="00866D80">
        <w:rPr>
          <w:rFonts w:ascii="B Lotus" w:hAnsi="Times New Roman" w:cs="B Lotus" w:hint="cs"/>
          <w:b/>
          <w:bCs/>
          <w:sz w:val="28"/>
          <w:szCs w:val="28"/>
          <w:rtl/>
        </w:rPr>
        <w:t xml:space="preserve">2ـ 2ـ  </w:t>
      </w:r>
      <w:r w:rsidR="000A5E92" w:rsidRPr="00866D80">
        <w:rPr>
          <w:rFonts w:ascii="B Lotus" w:hAnsi="Times New Roman" w:cs="B Lotus" w:hint="cs"/>
          <w:b/>
          <w:bCs/>
          <w:sz w:val="28"/>
          <w:szCs w:val="28"/>
          <w:rtl/>
        </w:rPr>
        <w:t>حمایت از بزه دیده در مرحله دادرسی</w:t>
      </w:r>
    </w:p>
    <w:p w14:paraId="70186396" w14:textId="77777777" w:rsidR="000A5E92" w:rsidRPr="00866D80" w:rsidRDefault="000A5E92" w:rsidP="008206A3">
      <w:pPr>
        <w:tabs>
          <w:tab w:val="right" w:pos="9360"/>
        </w:tabs>
        <w:spacing w:after="0" w:line="276" w:lineRule="auto"/>
        <w:ind w:left="720"/>
        <w:jc w:val="both"/>
        <w:rPr>
          <w:rFonts w:ascii="Times New Roman" w:hAnsi="Times New Roman" w:cs="B Lotus"/>
          <w:sz w:val="28"/>
          <w:szCs w:val="28"/>
        </w:rPr>
      </w:pPr>
    </w:p>
    <w:p w14:paraId="72B16614" w14:textId="77777777" w:rsidR="000A5E92" w:rsidRPr="00866D80" w:rsidRDefault="000A5E92" w:rsidP="008206A3">
      <w:pPr>
        <w:tabs>
          <w:tab w:val="right" w:pos="9360"/>
        </w:tabs>
        <w:spacing w:after="0" w:line="276" w:lineRule="auto"/>
        <w:jc w:val="both"/>
        <w:rPr>
          <w:rFonts w:ascii="Times New Roman" w:hAnsi="Times New Roman" w:cs="B Lotus"/>
          <w:sz w:val="28"/>
          <w:szCs w:val="28"/>
        </w:rPr>
      </w:pPr>
      <w:r w:rsidRPr="00866D80">
        <w:rPr>
          <w:rFonts w:ascii="B Lotus" w:hAnsi="Times New Roman" w:cs="B Lotus" w:hint="cs"/>
          <w:sz w:val="28"/>
          <w:szCs w:val="28"/>
          <w:rtl/>
        </w:rPr>
        <w:t>اصولاً فرد بزه دیده انسانی است که یکی از حقوق وی مورد تعدی و تجاوز قرار گرفته است. احقاق مجدد چنین حقی و دفاع ازآن، در اغلب موارد، نیاز به اقامه دعوا دارد. متاسفانه بسیاری از قربانیان مستقیم جرایم، به دلیل ناآشنایی با حقوق اولیه خود و مواد قانونی از مراجعه به مراجع قانونی عاجزند؛ لذا در صدد احقاق حق خود برنیامده و عملاً در تکرار بزه دیدگی خویش دخالت دارند.</w:t>
      </w:r>
      <w:r w:rsidRPr="00866D80">
        <w:rPr>
          <w:rStyle w:val="FootnoteReference"/>
          <w:rFonts w:ascii="B Lotus" w:hAnsi="Times New Roman" w:cs="B Lotus"/>
          <w:sz w:val="28"/>
          <w:szCs w:val="28"/>
          <w:rtl/>
        </w:rPr>
        <w:footnoteReference w:id="9"/>
      </w:r>
    </w:p>
    <w:p w14:paraId="1AA5FF62" w14:textId="77777777" w:rsidR="000A5E92" w:rsidRPr="00866D80" w:rsidRDefault="000A5E92" w:rsidP="008206A3">
      <w:pPr>
        <w:tabs>
          <w:tab w:val="right" w:pos="9360"/>
        </w:tabs>
        <w:spacing w:line="276" w:lineRule="auto"/>
        <w:jc w:val="both"/>
        <w:rPr>
          <w:rFonts w:ascii="Times New Roman" w:hAnsi="Times New Roman" w:cs="B Lotus"/>
          <w:sz w:val="28"/>
          <w:szCs w:val="28"/>
          <w:rtl/>
        </w:rPr>
      </w:pPr>
      <w:r w:rsidRPr="00866D80">
        <w:rPr>
          <w:rFonts w:ascii="B Lotus" w:hAnsi="Times New Roman" w:cs="B Lotus" w:hint="cs"/>
          <w:sz w:val="28"/>
          <w:szCs w:val="28"/>
          <w:rtl/>
        </w:rPr>
        <w:t>از سوی دیگر، برخی از بزه دیدگان به دلیل بی اعتمادی به پلیس و شک و تردید نسبت به مراجع قضای از گزارش بزه دیدگی خود و اقامه دعوا امتناع می ورزد. حمایت از بزه دیدگان در مرحله دادرسی جلوه های مختلفی دارد که از جمله آنها، تفهیم حقوق بزه دیدگان و جلب اعتماد آنان، استفاده از میانجی گری است.</w:t>
      </w:r>
      <w:r w:rsidRPr="00866D80">
        <w:rPr>
          <w:rStyle w:val="FootnoteReference"/>
          <w:rFonts w:ascii="B Lotus" w:hAnsi="Times New Roman" w:cs="B Lotus"/>
          <w:sz w:val="28"/>
          <w:szCs w:val="28"/>
          <w:rtl/>
        </w:rPr>
        <w:footnoteReference w:id="10"/>
      </w:r>
    </w:p>
    <w:p w14:paraId="6D431EA7" w14:textId="3117BF43" w:rsidR="000A5E92" w:rsidRPr="00866D80" w:rsidRDefault="008206A3" w:rsidP="008206A3">
      <w:pPr>
        <w:tabs>
          <w:tab w:val="right" w:pos="9360"/>
        </w:tabs>
        <w:spacing w:line="276" w:lineRule="auto"/>
        <w:jc w:val="both"/>
        <w:rPr>
          <w:rFonts w:ascii="Times New Roman" w:hAnsi="Times New Roman" w:cs="B Lotus"/>
          <w:b/>
          <w:bCs/>
          <w:sz w:val="28"/>
          <w:szCs w:val="28"/>
          <w:rtl/>
        </w:rPr>
      </w:pPr>
      <w:r w:rsidRPr="00866D80">
        <w:rPr>
          <w:rFonts w:ascii="B Lotus" w:hAnsi="Times New Roman" w:cs="B Lotus" w:hint="cs"/>
          <w:b/>
          <w:bCs/>
          <w:sz w:val="28"/>
          <w:szCs w:val="28"/>
          <w:rtl/>
        </w:rPr>
        <w:t xml:space="preserve">2ـ 3ـ  </w:t>
      </w:r>
      <w:r w:rsidR="000A5E92" w:rsidRPr="00866D80">
        <w:rPr>
          <w:rFonts w:ascii="B Lotus" w:cs="B Lotus" w:hint="cs"/>
          <w:b/>
          <w:bCs/>
          <w:sz w:val="28"/>
          <w:szCs w:val="28"/>
          <w:rtl/>
        </w:rPr>
        <w:t>حمایت از بزه دیده در مرحله اجرای احکام و تامین ضرر و زیان</w:t>
      </w:r>
    </w:p>
    <w:p w14:paraId="42FBD485" w14:textId="77777777" w:rsidR="000A5E92" w:rsidRPr="00866D80" w:rsidRDefault="000A5E92" w:rsidP="008206A3">
      <w:pPr>
        <w:tabs>
          <w:tab w:val="right" w:pos="9360"/>
        </w:tabs>
        <w:spacing w:after="0" w:line="276" w:lineRule="auto"/>
        <w:jc w:val="both"/>
        <w:rPr>
          <w:rFonts w:ascii="Times New Roman" w:hAnsi="Times New Roman" w:cs="B Lotus"/>
          <w:sz w:val="28"/>
          <w:szCs w:val="28"/>
        </w:rPr>
      </w:pPr>
      <w:r w:rsidRPr="00866D80">
        <w:rPr>
          <w:rFonts w:ascii="B Lotus" w:hAnsi="Times New Roman" w:cs="B Lotus" w:hint="cs"/>
          <w:sz w:val="28"/>
          <w:szCs w:val="28"/>
          <w:rtl/>
        </w:rPr>
        <w:t>یکی از مهمترین حمایت ها، موضوع جبران خسارت بزه دیده است که در واقع مهمترین مسئله مربوط به امر می‌باشد. در این میان جبران خسارت یکی از ابزارهای مهم عدالت جنایی است که از آن باید به منزله یک شیوه جبرانی برای پاره ای از زیان ها و آسیبهای وارد بر بزه دیده و نیز شیوه ای برای پاسخگو ساختن بزه کار بهره گیری شود.</w:t>
      </w:r>
      <w:r w:rsidRPr="00866D80">
        <w:rPr>
          <w:rStyle w:val="FootnoteReference"/>
          <w:rFonts w:ascii="B Lotus" w:hAnsi="Times New Roman" w:cs="B Lotus"/>
          <w:sz w:val="28"/>
          <w:szCs w:val="28"/>
          <w:rtl/>
        </w:rPr>
        <w:footnoteReference w:id="11"/>
      </w:r>
    </w:p>
    <w:p w14:paraId="5214C2DD" w14:textId="0B35B8C0" w:rsidR="000A5E92" w:rsidRPr="00866D80" w:rsidRDefault="008206A3" w:rsidP="008206A3">
      <w:pPr>
        <w:spacing w:line="276" w:lineRule="auto"/>
        <w:ind w:left="-93"/>
        <w:jc w:val="both"/>
        <w:rPr>
          <w:rFonts w:cs="B Lotus"/>
          <w:b/>
          <w:bCs/>
          <w:sz w:val="28"/>
          <w:szCs w:val="28"/>
        </w:rPr>
      </w:pPr>
      <w:r w:rsidRPr="00866D80">
        <w:rPr>
          <w:rFonts w:ascii="B Lotus" w:cs="B Lotus" w:hint="cs"/>
          <w:b/>
          <w:bCs/>
          <w:sz w:val="28"/>
          <w:szCs w:val="28"/>
          <w:rtl/>
        </w:rPr>
        <w:t xml:space="preserve">2ـ4ـ </w:t>
      </w:r>
      <w:r w:rsidR="000A5E92" w:rsidRPr="00866D80">
        <w:rPr>
          <w:rFonts w:ascii="B Lotus" w:cs="B Lotus" w:hint="cs"/>
          <w:b/>
          <w:bCs/>
          <w:sz w:val="28"/>
          <w:szCs w:val="28"/>
          <w:rtl/>
        </w:rPr>
        <w:t xml:space="preserve"> انواع حمایت از بزه دیدگان</w:t>
      </w:r>
    </w:p>
    <w:p w14:paraId="01847C3E" w14:textId="5E9AD5D2"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Pr>
      </w:pPr>
      <w:r w:rsidRPr="00866D80">
        <w:rPr>
          <w:rFonts w:ascii="B Lotus" w:eastAsia="Times New Roman" w:hAnsi="Times New Roman" w:cs="B Lotus" w:hint="cs"/>
          <w:b/>
          <w:bCs/>
          <w:sz w:val="28"/>
          <w:szCs w:val="28"/>
          <w:rtl/>
        </w:rPr>
        <w:t xml:space="preserve">2ـ </w:t>
      </w:r>
      <w:r w:rsidR="008206A3" w:rsidRPr="00866D80">
        <w:rPr>
          <w:rFonts w:ascii="B Lotus" w:eastAsia="Times New Roman" w:hAnsi="Times New Roman" w:cs="B Lotus" w:hint="cs"/>
          <w:b/>
          <w:bCs/>
          <w:sz w:val="28"/>
          <w:szCs w:val="28"/>
          <w:rtl/>
        </w:rPr>
        <w:t>4</w:t>
      </w:r>
      <w:r w:rsidRPr="00866D80">
        <w:rPr>
          <w:rFonts w:ascii="B Lotus" w:eastAsia="Times New Roman" w:hAnsi="Times New Roman" w:cs="B Lotus" w:hint="cs"/>
          <w:b/>
          <w:bCs/>
          <w:sz w:val="28"/>
          <w:szCs w:val="28"/>
          <w:rtl/>
        </w:rPr>
        <w:t>ـ 1ـ  حمایت</w:t>
      </w:r>
      <w:r w:rsidRPr="00866D80">
        <w:rPr>
          <w:rFonts w:ascii="B Lotus" w:eastAsia="Times New Roman" w:hAnsi="Times New Roman" w:cs="B Lotus"/>
          <w:sz w:val="28"/>
          <w:szCs w:val="28"/>
          <w:rtl/>
        </w:rPr>
        <w:t xml:space="preserve"> </w:t>
      </w:r>
      <w:r w:rsidRPr="00866D80">
        <w:rPr>
          <w:rFonts w:ascii="B Lotus" w:eastAsia="Times New Roman" w:hAnsi="Times New Roman" w:cs="B Lotus"/>
          <w:b/>
          <w:bCs/>
          <w:sz w:val="28"/>
          <w:szCs w:val="28"/>
          <w:rtl/>
        </w:rPr>
        <w:t>کیفری</w:t>
      </w:r>
      <w:r w:rsidRPr="00866D80">
        <w:rPr>
          <w:rFonts w:ascii="B Lotus" w:eastAsia="Times New Roman" w:hAnsi="Times New Roman" w:cs="B Lotus"/>
          <w:sz w:val="28"/>
          <w:szCs w:val="28"/>
          <w:rtl/>
        </w:rPr>
        <w:t xml:space="preserve"> </w:t>
      </w:r>
      <w:r w:rsidRPr="00866D80">
        <w:rPr>
          <w:rFonts w:ascii="B Lotus" w:eastAsia="Times New Roman" w:hAnsi="Times New Roman" w:cs="B Lotus"/>
          <w:b/>
          <w:bCs/>
          <w:sz w:val="28"/>
          <w:szCs w:val="28"/>
          <w:rtl/>
        </w:rPr>
        <w:t>ویژه</w:t>
      </w:r>
    </w:p>
    <w:p w14:paraId="529F15D6"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lastRenderedPageBreak/>
        <w:t xml:space="preserve">حمایت واژه عربی است که عین این کلمه و لغت با حفظ معنای اولیه و اصلی خود وارد زبان فارسی شده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ودر زبان فارسی به معنای پشتیبانی کردن ،حفاظت کردن</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و دفاع کردن از کسی استفاده شده است. حمایت در معنای موسع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 xml:space="preserve">شامل هرگونه اقدام در جهت پاسداری از انواع حقوقی است که به بزه دیده تعلق دارد و همچنین به معنای احقاق و بازگرداندن حقوق از دست رفته وی محسوب می شود .در این تعریف منظور از حقوق، اعم از حقوق مالی ،حیثیت، تمامیت جسمانی ،حق حیات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و مانند آن‌ می‌باشد.حمایت کیفری از بزه دیده را به شکلی و ماهوی تقسیم می کنند .</w:t>
      </w:r>
      <w:r w:rsidRPr="00866D80">
        <w:rPr>
          <w:rStyle w:val="FootnoteReference"/>
          <w:rFonts w:ascii="B Lotus" w:eastAsia="Times New Roman" w:hAnsi="Times New Roman" w:cs="B Lotus"/>
          <w:sz w:val="28"/>
          <w:szCs w:val="28"/>
          <w:rtl/>
        </w:rPr>
        <w:footnoteReference w:id="12"/>
      </w:r>
    </w:p>
    <w:p w14:paraId="3C159F3D" w14:textId="10606835"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Pr>
      </w:pPr>
      <w:r w:rsidRPr="00866D80">
        <w:rPr>
          <w:rFonts w:ascii="B Lotus" w:eastAsia="Times New Roman" w:hAnsi="Times New Roman" w:cs="B Lotus" w:hint="cs"/>
          <w:b/>
          <w:bCs/>
          <w:sz w:val="28"/>
          <w:szCs w:val="28"/>
          <w:rtl/>
        </w:rPr>
        <w:t xml:space="preserve">2ـ </w:t>
      </w:r>
      <w:r w:rsidR="008206A3" w:rsidRPr="00866D80">
        <w:rPr>
          <w:rFonts w:ascii="B Lotus" w:eastAsia="Times New Roman" w:hAnsi="Times New Roman" w:cs="B Lotus" w:hint="cs"/>
          <w:b/>
          <w:bCs/>
          <w:sz w:val="28"/>
          <w:szCs w:val="28"/>
          <w:rtl/>
        </w:rPr>
        <w:t>4</w:t>
      </w:r>
      <w:r w:rsidRPr="00866D80">
        <w:rPr>
          <w:rFonts w:ascii="B Lotus" w:eastAsia="Times New Roman" w:hAnsi="Times New Roman" w:cs="B Lotus" w:hint="cs"/>
          <w:b/>
          <w:bCs/>
          <w:sz w:val="28"/>
          <w:szCs w:val="28"/>
          <w:rtl/>
        </w:rPr>
        <w:t xml:space="preserve">ـ 1ـ 1ـ  حمایت کیفری ماهوی افتراقی </w:t>
      </w:r>
    </w:p>
    <w:p w14:paraId="248ACD11"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 xml:space="preserve">حمایت کیفری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 xml:space="preserve">ماهوی افتراقی شامل، جرم انگاری حمایتی و کیفر انگاری حمایتی می شود .جرم انگاری حمایتی، وضعیت آسیب شناسانه ویژه بزه دیده را مد نظر قرار میدهد و عبارت است از «پروسه ای که طی آن حاکمان افعال یا ترک فعل هایی را که باعث ضرر رساندن و آسیب به بزه دیدگان آسیب پذیر می شود را بر اساس وضعیت آسیب شناسانه ویژه آنها منع کرده و برای کسانی که مرتکب چنین افعال یا ترک فعل هایی شوند ضمانت اجرا تعیین نموده است» .جرم انگاری حمایتی به دو شکل متفاوت صورت می گیرد. اول جرم انگاری فعل یا ترک فعل هایی که با توجه به اوضاع خاص افراد آسیب پذیر ارتکاب می یابد .ما درقوانین ایران میتوانیم به صورت پراکنده مصادیقی از این نوع جرم انگای خاص را بیابیم. مواد 619 ، 713و633 قانون مجازات اسلامی و همچنین قانون حمایت از کودکان و نوجوانان مصوب 1381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از همین نوع است . نوع دیگر جرم انگاری حمایتی عبارت است از «عدم گزارش و عدم اعلام جرائم علیه تمامیت جسمانی و روحانی اشخاص آسیب پذیر» بر این اساس هرگاه فردی از افراد جامعه از واقع شدن یک جنایت بر ضد افراد آسیب پذیر آگاهی یابد اما عامدانه دراین خصوص گزارشی به مقامات قضایی ارائه ننماید عمل او نوعی جرم محسوب شده و قابلیت اعمال مجازات را دارد .این موضوع در ماده 6 قانون حمایت از کودکان و نوجوانان مصوب 1381 مد نظر قرار گرفته است .</w:t>
      </w:r>
    </w:p>
    <w:p w14:paraId="7BE9B9D9"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 xml:space="preserve">کیفر انگاری حمایتی را به «تشدید مجازات » تعبیر می کنند و در تعریف آن می گویند «پیش بینی عوامل تشدید کننده مجازات ونیز کیفیات مشدده مجازات ».با توجه به اینکه قلمرو کیفر انگاری حمایتی توسعه </w:t>
      </w:r>
      <w:r w:rsidRPr="00866D80">
        <w:rPr>
          <w:rFonts w:ascii="B Lotus" w:eastAsia="Times New Roman" w:hAnsi="Times New Roman" w:cs="B Lotus"/>
          <w:sz w:val="28"/>
          <w:szCs w:val="28"/>
          <w:rtl/>
        </w:rPr>
        <w:lastRenderedPageBreak/>
        <w:t>بسیاری یافته است به دو صورت قابل اعمال است اول آنکه مجازاتها بر اساس نوع ویا میزان جرم از طریق روش عادی و معمولی آن تشدید یابد. حقوق جزای ایران مملو از این نوع تشدید مجازات است ..تبصره اول ماده 3 قانون مبارزه با قاچاق انسان مصوب 1383 ،بند ج ماده 206 قانون مجازات اسلامی و قسمت اخیر ماده 621 قانون مجازات اسلامی از نمونه های این نوع تشدید مجازات است .روش دیگر کیفر انگاری حمایتی عبارت است از آنکه« ضمانت اجراهای تکمیلی و تتمیمی درکنار مجازاتهای اصلی جرائم علیه اشخاص آسیب پذیر در نظر گرفته شود»</w:t>
      </w:r>
      <w:r w:rsidRPr="00866D80">
        <w:rPr>
          <w:rStyle w:val="FootnoteReference"/>
          <w:rFonts w:ascii="B Lotus" w:eastAsia="Times New Roman" w:hAnsi="Times New Roman" w:cs="B Lotus"/>
          <w:sz w:val="28"/>
          <w:szCs w:val="28"/>
          <w:rtl/>
        </w:rPr>
        <w:footnoteReference w:id="13"/>
      </w:r>
      <w:r w:rsidRPr="00866D80">
        <w:rPr>
          <w:rFonts w:ascii="B Lotus" w:eastAsia="Times New Roman" w:hAnsi="Times New Roman" w:cs="B Lotus"/>
          <w:sz w:val="28"/>
          <w:szCs w:val="28"/>
          <w:rtl/>
        </w:rPr>
        <w:t xml:space="preserve"> .مواد 19 و30 از قانون مجازات اسلامی مصوب 1392 از این دسته از تشدید مجازاتهایی است که بطور عام مورد اشاره و تعریف قرار گرفته است. ابطال پروانه کسب ،تعطیلی دائم یا موقت موسسه و انفصال دائم ویا موقت .</w:t>
      </w:r>
    </w:p>
    <w:p w14:paraId="508BAE45" w14:textId="222F56F8"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hint="cs"/>
          <w:b/>
          <w:bCs/>
          <w:sz w:val="28"/>
          <w:szCs w:val="28"/>
          <w:rtl/>
        </w:rPr>
        <w:t xml:space="preserve">2ـ </w:t>
      </w:r>
      <w:r w:rsidR="008206A3" w:rsidRPr="00866D80">
        <w:rPr>
          <w:rFonts w:ascii="B Lotus" w:eastAsia="Times New Roman" w:hAnsi="Times New Roman" w:cs="B Lotus" w:hint="cs"/>
          <w:b/>
          <w:bCs/>
          <w:sz w:val="28"/>
          <w:szCs w:val="28"/>
          <w:rtl/>
        </w:rPr>
        <w:t>4</w:t>
      </w:r>
      <w:r w:rsidRPr="00866D80">
        <w:rPr>
          <w:rFonts w:ascii="B Lotus" w:eastAsia="Times New Roman" w:hAnsi="Times New Roman" w:cs="B Lotus" w:hint="cs"/>
          <w:b/>
          <w:bCs/>
          <w:sz w:val="28"/>
          <w:szCs w:val="28"/>
          <w:rtl/>
        </w:rPr>
        <w:t xml:space="preserve">ـ 1ـ 2ـ  حمایت جزایی افتراقی (شکلی ) </w:t>
      </w:r>
    </w:p>
    <w:p w14:paraId="19A97166"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در حقوق کیفری ایران، قانونگذار از دو راه اقدام به حمایت جزایی شکلی و افتراقی از بزه دیدگان نموده است در طریق نخست حمایت حقوقی و قضایی قرار دارد و منظور از این حمایت « مجموعه مزایایی است</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که در جریان دادرسی کیفری که شامل زمان کشف جرم و اعلام بزه دیدگی تا زمان اجرای حکم و نیز جبران ضررو زیان بزه دیده است جزیی از حقوق بزه دیدگان است که باید به آنها اختصاص یابد» .تهیه مقدمات و شرایط و ساختار جبران خسارت ،تامین برقراری و ایجاد امنیت برای بزه دیده ،مطلع ساختن بزه دیدگان از حقوقشان و ارائه نظرات و نگرانی های بزه دیدگان از مهمترین حمایتهای قضایی و حقوقی به شمار می آیند .قانونگذار ایران بصورت بسیار محدود و استثنایی حمایت شکلی ویژه از بزه دیدگان آسیب پذیر را در آیین دادرسی کیفری آورده است .با نگاهی گذرا بر قانون آیین دادرسی کیفری می توانیم به فهرستی مختصر و کوتاه در حمایت ویژه از بزه دیدگانی که کودک هستند دست یابیم.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یکی از جرائم مهم غیر قابل گذشت، کودک آزاری است که تعقیب آن نیز نیازمند به شکایت شاکی خصوصی نیست .قانون حمایت از کودکان ونوجوانان 1381 در ماده 5 و در قانون آیین دادرسی جزایی در ماده 70به این امر اختصاص یافته است .</w:t>
      </w:r>
    </w:p>
    <w:p w14:paraId="147011DA"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 xml:space="preserve">درآیین دادرسی کیفری ایران ، در راستای حمایت از سالمندان تدبیر ویژه ای جز مواردی استثنایی پیش بینی نشده است ، آن هم عبارت از اینکه قانونگذار در چهار موضع از ناتوانان، حمایت افتراقی نموده است </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:اول </w:t>
      </w:r>
      <w:r w:rsidRPr="00866D80">
        <w:rPr>
          <w:rFonts w:ascii="B Lotus" w:eastAsia="Times New Roman" w:hAnsi="Times New Roman" w:cs="B Lotus"/>
          <w:sz w:val="28"/>
          <w:szCs w:val="28"/>
          <w:rtl/>
        </w:rPr>
        <w:lastRenderedPageBreak/>
        <w:t xml:space="preserve">حمایتهایی است که درماده 70قانون آیین دادرسی کیفری از آنها به عمل آورده است و خلاصه می شود در نصب قیم موقت برای شخص محجور جهت تعقیب امر جزایی. دوم ماده 136 قانون فوق است. این مقرره در باب حمایت پزشکی از بزه دیدگان ناتوان مورد توجه قرار گرفته است »مورد سوم، ماد‌ه‌ی 201 قانون فوق الذکراست . چهارم، ماده‌ی 13قانون جامع حمایت از معلولان مصوب </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1383 است که اذعان می دارد « سازمان بهزیستی کشور مکلف است با ایجاد کاربست های مناسب نسبت به تعیین قیم برای افراد معلول اقدام شایسته انجام دهد». تبصره یک قانون مذکور مضمونا دلالت دارد بر این امر که تعیین وکیل برای حمایت از حقوق افراد معلول از وظایف و اختیارات سازمان بهزیستی می باشد که به محاکم قضایی معرفی می نمایند . البته در رابطه با حمایت کیفری شکلی ویژه اززنان نیز مقررات ما قانونمند و منظم نیست و برای حمایت ویژه از زنان که نوعا ناتوان محسوب می شوند مقررات خاصی پیش بینی نشده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و قانونگذار برای حمایت از آنها به همان قواعد و قوانین عمومی بسنده نموده است .البته در برخی مواقع آنهم بصورت</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پراکنده درفرایند عدالت جزایی حمایت از حقوق زنان توسط مقنن پیش بینی شده است .از مهمترین این تدابیر موارد ذیل را میتوان نام برد :بهره مندی از مشاوران زن در محاکم خانواده موضوع (تبصره سوم ماده واحده قانون اختصاص برخی از دادگاههای موجود به بحث اصل 21 قانون اساسی 1376) و حفاظت از مسائل سری وهویت زنان بزه دیده ،اما قانون آیین دادرسی کیفری از توجه ویژه به شهود وحمایت از آنها غافل نمانده و حمایتهای شکلی ویژه ای از آنان به عمل آورده که عبارتند از : استماع شهادت از طریق غیر علنی کردن جلسه دادرسی به منظور جلوگیری از افشای هویت گواهان ، کارشناسان و شکات خصوصی (مستفاد از مواد 206 و 453 قانون آیین دادرسی کیفری 1394 )</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تحقیق از شهود نزد قاضی بدون حضور گواهان یا متهمین دیگر ( ماده 327 قانون آیین دادرسی کیفری 1394) ،حضور قاضی در محل اقامت شاهد در صورت بیماری وی یا عدم توانایی شاهد </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ماده 216 قانون آیین دادرسی کیفری 1394)، پرداخت هزینه ایاب و ذهاب یا ضرر وزیان مورد ادعای شاهد یا مطلع ( ماده 215 قانون آِیین دادرسی کیفری 94 ) ،صدور قرار بازداشت موقت در مواردی که آزاد بودن متهم باعث به خطر افتادن جان شهود یا خانواده آنها باشد .( ماده 238 قانون آیین دادرسی کیفری 94 ).</w:t>
      </w:r>
    </w:p>
    <w:p w14:paraId="2A6989B9"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همان طوریکه بیان شد حمایت شکلی افتراقی نوع دوم دیگری نیز دارد که از آن به حمایت فراقضایی نام می برند. در تعریف این نوع حمایت شکلی گفته اند : «حمایتهای غیر حقوقی و غیر قضایی است که بیشتر در راستای</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سیاست جنایی تقنینی و نیز سیاست جنایی مشارکتی در زمان پس از بزه دیدگی صورت میگیرد» . البته این نوع حمایت حتما باید همراهی حمایت کیفری ویا حمایتهای مرتبط با آنرا داشته باشد .مصادیق </w:t>
      </w:r>
      <w:r w:rsidRPr="00866D80">
        <w:rPr>
          <w:rFonts w:ascii="B Lotus" w:eastAsia="Times New Roman" w:hAnsi="Times New Roman" w:cs="B Lotus"/>
          <w:sz w:val="28"/>
          <w:szCs w:val="28"/>
          <w:rtl/>
        </w:rPr>
        <w:lastRenderedPageBreak/>
        <w:t xml:space="preserve">حمایتهای فرا قضایی علاوه بر حمایتهای پزشکی، شامل حمایتهای عاطفی و حیثیتی ،اجتماعی و مالی نیز می شود که غالبا از سوی گروه های مردم نهاد و مدنی که اصطلاحا به </w:t>
      </w:r>
      <w:r w:rsidRPr="00866D80">
        <w:rPr>
          <w:rFonts w:ascii="Times New Roman" w:eastAsia="Times New Roman" w:hAnsi="Times New Roman" w:cs="B Lotus"/>
          <w:sz w:val="28"/>
          <w:szCs w:val="28"/>
        </w:rPr>
        <w:t>NGO</w:t>
      </w:r>
      <w:r w:rsidRPr="00866D80">
        <w:rPr>
          <w:rFonts w:ascii="B Lotus" w:eastAsia="Times New Roman" w:hAnsi="Times New Roman" w:cs="B Lotus"/>
          <w:sz w:val="28"/>
          <w:szCs w:val="28"/>
          <w:rtl/>
        </w:rPr>
        <w:t xml:space="preserve"> ها مشهور هستند برای حمایت از بزه دیدگان و مراتب شدت یافتن دردها و ممانعت از ایجاد استرس های روانی و شدید تر شدن دردها اعمال میگردد ،مانند ایجاد مراجع درمانی اورژانسی ،راه اندازی مراجع مشاوره روان پزشکی </w:t>
      </w:r>
      <w:r w:rsidRPr="00866D80">
        <w:rPr>
          <w:rFonts w:ascii="Calibri" w:eastAsia="Times New Roman" w:hAnsi="Calibri" w:cs="Calibri" w:hint="cs"/>
          <w:sz w:val="28"/>
          <w:szCs w:val="28"/>
          <w:rtl/>
        </w:rPr>
        <w:t> </w:t>
      </w:r>
      <w:r w:rsidRPr="00866D80">
        <w:rPr>
          <w:rFonts w:ascii="B Lotus" w:eastAsia="Times New Roman" w:hAnsi="Times New Roman" w:cs="B Lotus" w:hint="cs"/>
          <w:sz w:val="28"/>
          <w:szCs w:val="28"/>
          <w:rtl/>
        </w:rPr>
        <w:t xml:space="preserve">و روانشناسی ،ایجاد صندوق جبران ضرر و زیان و به وجود آوردن گروه های حمایت از بزه دیدگان </w:t>
      </w:r>
      <w:r w:rsidRPr="00866D80">
        <w:rPr>
          <w:rStyle w:val="FootnoteReference"/>
          <w:rFonts w:ascii="B Lotus" w:eastAsia="Times New Roman" w:hAnsi="Times New Roman" w:cs="B Lotus"/>
          <w:sz w:val="28"/>
          <w:szCs w:val="28"/>
          <w:rtl/>
        </w:rPr>
        <w:footnoteReference w:id="14"/>
      </w:r>
    </w:p>
    <w:p w14:paraId="2DD55A85"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Pr>
      </w:pPr>
      <w:r w:rsidRPr="00866D80">
        <w:rPr>
          <w:rFonts w:ascii="B Lotus" w:eastAsia="Times New Roman" w:hAnsi="Times New Roman" w:cs="B Lotus"/>
          <w:sz w:val="28"/>
          <w:szCs w:val="28"/>
          <w:rtl/>
        </w:rPr>
        <w:t>از اوایل دهه 80 میلادی، تلاش های بین المللی به منظور تعریف دوباره موقعیت قربانی جرم وجود داشته است. درنتیجه، این شدت تمرکز برروی قربانی، به عنوان مثال، مفهوم «کشف دوباره قربانی» بازتابی در افزایش جبران خسارت و توجه بین المللی پیدا نمود.</w:t>
      </w:r>
      <w:r w:rsidRPr="00866D80">
        <w:rPr>
          <w:rStyle w:val="FootnoteReference"/>
          <w:rFonts w:ascii="B Lotus" w:eastAsia="Times New Roman" w:hAnsi="Times New Roman" w:cs="B Lotus"/>
          <w:sz w:val="28"/>
          <w:szCs w:val="28"/>
          <w:rtl/>
        </w:rPr>
        <w:footnoteReference w:id="15"/>
      </w:r>
      <w:r w:rsidRPr="00866D80">
        <w:rPr>
          <w:rFonts w:ascii="B Lotus" w:eastAsia="Times New Roman" w:hAnsi="Times New Roman" w:cs="B Lotus"/>
          <w:sz w:val="28"/>
          <w:szCs w:val="28"/>
          <w:rtl/>
        </w:rPr>
        <w:t>.بزه دیده یکی از اصول اساسی واقعه مجرمانه است که</w:t>
      </w:r>
      <w:r w:rsidRPr="00866D80">
        <w:rPr>
          <w:rFonts w:ascii="Calibri" w:eastAsia="Times New Roman" w:hAnsi="Calibri" w:cs="Calibri" w:hint="cs"/>
          <w:sz w:val="28"/>
          <w:szCs w:val="28"/>
          <w:rtl/>
        </w:rPr>
        <w:t> </w:t>
      </w:r>
      <w:r w:rsidRPr="00866D80">
        <w:rPr>
          <w:rFonts w:ascii="B Lotus" w:eastAsia="Times New Roman" w:hAnsi="Times New Roman" w:cs="B Lotus"/>
          <w:sz w:val="28"/>
          <w:szCs w:val="28"/>
          <w:rtl/>
        </w:rPr>
        <w:t xml:space="preserve"> متاسفانه جایگاه واقعی و موثر خود را تا کنون در پژوهش های جرم شناسی و سیاست جنایی جوامع، نیافته است .با ظهور علم بزه دیده شناسی حمایتی در قرن 20 میلادی و به وجود آمدن اندیشه حمایت از بزه دیدگان در نظام عدالت جزایی جایگاه فراموش شده بزه دیده مجددا نقش خود را پیدا کرد و در اینجا بود که آموزه های بزه دیده شناسی حمایتی در خصوص حمایت از قربانیان جرم در قالب قوانین و ملاکهای بین المللی تجلی یافت .بزه دیده شناسی حمایتی علاوه بر مطالعه نقش بزه دیده در سیستم عدالت کیفری او را مستحق حمایت دانسته و حمایت از چنین بزه دیده ای را بر اساس معیارهای بین المللی منوط به رفتار منصفانه در راستای دسترسی به عدالت تلقی میکند .</w:t>
      </w:r>
    </w:p>
    <w:p w14:paraId="6CFE71C3"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 xml:space="preserve">از آنجایی که اندیشه حمایت از بزه دیده دارای اصول مستحکم و با ارزش می باشد ، ابعاد آن اقتضاء نمود که نظریه حمایت از بزه دیدگان جرم در زمانی بسیار کوتاه جایگاه والای خود را در اسناد و کنوانسیون مللی باز یابد . در میان سندهای گوناگون حقوق بشری که هنجارهای نظام بین المللی حقوق بشر را بازتاب میدهند، سندهای مهمی به چشم میخورند که با جهت گیری به سوی بزهدیدگان و قربانیان سوءاستفاده از قدرت، ملاک های جهانی حمایت از بزهدیدگان را میتوان در آنها جستجو کرد. در این میان، اعلامیه اصول بنیادی عدالت برای بزهدیدگان و قربانیان سوءاستفاده از قدرت (1985)،و اصول و رهنمودهای بنیادی درباره حق </w:t>
      </w:r>
      <w:r w:rsidRPr="00866D80">
        <w:rPr>
          <w:rFonts w:ascii="B Lotus" w:eastAsia="Times New Roman" w:hAnsi="Times New Roman" w:cs="B Lotus"/>
          <w:sz w:val="28"/>
          <w:szCs w:val="28"/>
          <w:rtl/>
        </w:rPr>
        <w:lastRenderedPageBreak/>
        <w:t>جبران و ترمیم (2006)، به عنوان دو سند ارزشمند در چارچوب سیاست های سازمان ملل متحد را بی گمان میتوان به مثابه منشور بین المللی حقوق بزهدیدگان به شمار آورد. درحقیقت، عدم اطمینان به ماهیت و میزان سهم قربانیان در جرایم سبب شده است که رابطه بین بزهدیده شناسی و جرم شناسی به یک مشکل و نگرانی تبدیل شود. نگرانی این است که، در دیالکتیک رئالیسم و واقع گرای چپ، هدف این است که حقوق انتخابی(تعیینی) برای بزهدیدگان خاص را ترقی دهند و طرفداری کنند، از این فرض که برخی از حقوق بزهدیده، از حقوق رقابتی یا ارزشهای در جامعه، مهمتر درنظر گرفته شوند به عنوان مثال، یک فمینیسم اسلامی ممکن است ادامه درمان برای یک زن بزهدیده را دنبال کند و درنتیجه بخواهد که از سقط جنین جرم زدایی شود یا در زمینه خشونت خانگی و اذیت و آزار، جرم انگاری شود. جنسی.</w:t>
      </w:r>
      <w:r w:rsidRPr="00866D80">
        <w:rPr>
          <w:rStyle w:val="FootnoteReference"/>
          <w:rFonts w:ascii="B Lotus" w:eastAsia="Times New Roman" w:hAnsi="Times New Roman" w:cs="B Lotus"/>
          <w:sz w:val="28"/>
          <w:szCs w:val="28"/>
          <w:rtl/>
        </w:rPr>
        <w:footnoteReference w:id="16"/>
      </w:r>
    </w:p>
    <w:p w14:paraId="785F30AF" w14:textId="77777777" w:rsidR="000A5E92" w:rsidRPr="00866D80" w:rsidRDefault="000A5E92"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sz w:val="28"/>
          <w:szCs w:val="28"/>
          <w:rtl/>
        </w:rPr>
        <w:t>نیمه دوم قرن بیستم را میتوان به عنوان آغاز نگرش نسبت به پیشگیری و تولد دوباره در قلمرو سیاست جنایی در نظر گرفت. بر خلاف حقوق کیفری یک سیاست جنایی مورد قبول، صرفا براقدامات جزایی تمرکز ندارد. .مشخصه های اصلی چنین سیاستی عبارتند از معالجه و بازپروری مجرمان ، رفع معضلات اجتماعی ، از بین بردن تبعیضات غیر موجه و ناعادلانه و ریشه کن کردن عوامل به وجود آورنده بزهکاری .سیاست جنایی مناسب ،دارای یک معنای عام وکلی است که در راه رسیدن به اهداف مورد نظر خود از بسیاری از علوم دیگر استفاده می نماید از سویی به واسطه ارتباطات نزدیکی که با سایر نهادها دارد میتواند از طریق این سازمانها نقشه ها و پیش بینی های خود را اجرایی نماید. (میراحمدیان، 1388: 22-16)تدابیر هیات اجتماع درمقابله با جرم، گاهی کنشی است وگاهی واکنشی. تدابیر کنشی تدابیری است که قبل از وقوع جرم و به منظور جلوگیری از جرم اتخاذ میگردد و به تدابیر پیشگیرانه معروف است. درمقابل، تدابیر واکنشی بعد از ارتکاب جرم به اجرا گذاشته میشود. اینگونه پاسخ ها به دو دسته کلی تقسیم میشود: یکی دربرابر مرتکب جرم که مجازات نامیده میشود و دیگری در حمایت از متضرر که میتوان آن را واکنش حمایتی نامید</w:t>
      </w:r>
      <w:r w:rsidRPr="00866D80">
        <w:rPr>
          <w:rStyle w:val="FootnoteReference"/>
          <w:rFonts w:ascii="B Lotus" w:eastAsia="Times New Roman" w:hAnsi="Times New Roman" w:cs="B Lotus"/>
          <w:sz w:val="28"/>
          <w:szCs w:val="28"/>
          <w:rtl/>
        </w:rPr>
        <w:footnoteReference w:id="17"/>
      </w:r>
    </w:p>
    <w:p w14:paraId="76DBAAAC" w14:textId="77777777" w:rsidR="000A5E92" w:rsidRPr="00866D80" w:rsidRDefault="000A5E92" w:rsidP="008206A3">
      <w:pPr>
        <w:spacing w:before="100" w:beforeAutospacing="1" w:after="100" w:afterAutospacing="1" w:line="276" w:lineRule="auto"/>
        <w:jc w:val="both"/>
        <w:rPr>
          <w:rFonts w:ascii="B Lotus" w:eastAsia="Times New Roman" w:hAnsi="Times New Roman" w:cs="B Lotus"/>
          <w:sz w:val="28"/>
          <w:szCs w:val="28"/>
          <w:rtl/>
        </w:rPr>
      </w:pPr>
      <w:r w:rsidRPr="00866D80">
        <w:rPr>
          <w:rFonts w:ascii="B Lotus" w:eastAsia="Times New Roman" w:hAnsi="Times New Roman" w:cs="B Lotus"/>
          <w:sz w:val="28"/>
          <w:szCs w:val="28"/>
          <w:rtl/>
        </w:rPr>
        <w:t xml:space="preserve">سیاست جنایی حمایتگرانه، درحقیقت، همان سیاست جنایی دولتی است که در ابعاد مختلف آن (تقنینی، قضایی و اجرایی)، درقالب حمایت از اصحاب دعوای کیفری نمایان میشود. در مواردی نیز مقنن، غیر از </w:t>
      </w:r>
      <w:r w:rsidRPr="00866D80">
        <w:rPr>
          <w:rFonts w:ascii="B Lotus" w:eastAsia="Times New Roman" w:hAnsi="Times New Roman" w:cs="B Lotus"/>
          <w:sz w:val="28"/>
          <w:szCs w:val="28"/>
          <w:rtl/>
        </w:rPr>
        <w:lastRenderedPageBreak/>
        <w:t>حمایتهای دولتی، از حمایت های نهادهای مدنی و به تعبیری یک نوع سیاست جنایی مشارکتی بهره میگیرد تا رسیدگی به عدالت کیفری، به نحو مؤثرتری دردسترس قرار گیرد. لذا این امر بدیهی است که در راستای رسیدگی کیفری، دولتها میتوانند از نیروهای مردمی هم استفاده کنند به شرط اینکه مقررات قانونی لازم وجود داشته یا زمینه تصویب آن در جامعه فراهم گردد، تا بدین سبب از طریق راهبردهای حمایتگرانه و از طرق مختلف، به اتخاذ رویکردی درخور فرایند دادرسی اقدام نمایند.</w:t>
      </w:r>
      <w:r w:rsidRPr="00866D80">
        <w:rPr>
          <w:rStyle w:val="FootnoteReference"/>
          <w:rFonts w:ascii="B Lotus" w:eastAsia="Times New Roman" w:hAnsi="Times New Roman" w:cs="B Lotus"/>
          <w:sz w:val="28"/>
          <w:szCs w:val="28"/>
          <w:rtl/>
        </w:rPr>
        <w:footnoteReference w:id="18"/>
      </w:r>
    </w:p>
    <w:p w14:paraId="0D0E5F83" w14:textId="13EF77BD" w:rsidR="001B64DC" w:rsidRPr="00866D80" w:rsidRDefault="008206A3" w:rsidP="008206A3">
      <w:pPr>
        <w:spacing w:before="100" w:beforeAutospacing="1" w:after="100" w:afterAutospacing="1" w:line="276" w:lineRule="auto"/>
        <w:jc w:val="both"/>
        <w:rPr>
          <w:rFonts w:ascii="Times New Roman" w:eastAsia="Times New Roman" w:hAnsi="Times New Roman" w:cs="B Lotus"/>
          <w:sz w:val="28"/>
          <w:szCs w:val="28"/>
          <w:rtl/>
        </w:rPr>
      </w:pPr>
      <w:r w:rsidRPr="00866D80">
        <w:rPr>
          <w:rFonts w:ascii="B Lotus" w:eastAsia="Times New Roman" w:hAnsi="Times New Roman" w:cs="B Lotus" w:hint="cs"/>
          <w:sz w:val="28"/>
          <w:szCs w:val="28"/>
          <w:rtl/>
        </w:rPr>
        <w:t xml:space="preserve">3ـ </w:t>
      </w:r>
      <w:r w:rsidR="000D42B3" w:rsidRPr="00866D80">
        <w:rPr>
          <w:rFonts w:ascii="B Lotus" w:eastAsia="Times New Roman" w:hAnsi="Times New Roman" w:cs="B Lotus" w:hint="cs"/>
          <w:sz w:val="28"/>
          <w:szCs w:val="28"/>
          <w:rtl/>
        </w:rPr>
        <w:t>حمایت از</w:t>
      </w:r>
      <w:r w:rsidR="001B64DC" w:rsidRPr="00866D80">
        <w:rPr>
          <w:rFonts w:ascii="B Lotus" w:eastAsia="Times New Roman" w:hAnsi="Times New Roman" w:cs="B Lotus" w:hint="cs"/>
          <w:sz w:val="28"/>
          <w:szCs w:val="28"/>
          <w:rtl/>
        </w:rPr>
        <w:t>اطفال</w:t>
      </w:r>
      <w:r w:rsidR="000D42B3" w:rsidRPr="00866D80">
        <w:rPr>
          <w:rFonts w:ascii="B Lotus" w:eastAsia="Times New Roman" w:hAnsi="Times New Roman" w:cs="B Lotus" w:hint="cs"/>
          <w:sz w:val="28"/>
          <w:szCs w:val="28"/>
          <w:rtl/>
        </w:rPr>
        <w:t xml:space="preserve"> بزه دیده</w:t>
      </w:r>
    </w:p>
    <w:p w14:paraId="59606485" w14:textId="77777777" w:rsidR="001B64DC" w:rsidRPr="00866D80" w:rsidRDefault="001B64DC" w:rsidP="008206A3">
      <w:pPr>
        <w:pStyle w:val="NormalWeb"/>
        <w:bidi/>
        <w:spacing w:line="276" w:lineRule="auto"/>
        <w:jc w:val="both"/>
        <w:rPr>
          <w:rFonts w:cs="B Lotus"/>
          <w:sz w:val="28"/>
          <w:szCs w:val="28"/>
        </w:rPr>
      </w:pPr>
      <w:r w:rsidRPr="00866D80">
        <w:rPr>
          <w:rFonts w:cs="B Lotus"/>
          <w:sz w:val="28"/>
          <w:szCs w:val="28"/>
          <w:rtl/>
        </w:rPr>
        <w:t>از آنجا كه اطفال و نوجوانان به لحاظ روانی و جسمانی در حال رشد هستند و شخصیت آنان در حال شكل‌گیری است و بنابراین هنوز بالیده نیستند، درجامعه و به ویژه در برابر بزهكاری، بیشتر از بزرگسالان آسیب‌پذیرند و از همه مهمتر كمتر از بزرگسالان می‌توانند مصالح عالیه خود را تشخیص دهند. به همین جهت است كه قوانین و مقررات ناظر به بزهكاری و بزه‌دیدگی اطفال جنبه افتراقی دارد.</w:t>
      </w:r>
    </w:p>
    <w:p w14:paraId="61FD22BF"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در حقوق كیفری اطفال با سه مقوله یا بهتر است بگوییم با سه مفهوم روبه‌رو هستیم. «بزهكاری اطفال»، «بزه‌دیدگی اطفال» و «اطفال در معرض خطر». بزهكاری اطفال شامل مجموعه جرایمی می‌شود كه صغار مرتكب می‌شوند. بزه‌دیدگی اطفال شامل مجموعه جرایم ارتكابی علیه اطفال است؛ و طفل در معرض خطر یك مفهوم بینابین است. زمانی كه طفل به لحاظ وضعیت و موقعیت شخصی خود یا به لحاظ وضعیت و خصوصیات والدین، دوستان، همكلاسی‌ها و محیط خود، در آستانه ارتكاب جرم (بزهكاری) یا تحمل جرم (بزه‌دیدگی) قرار می‌گیرد، در واقع در معرض خطر آلوده شدن به انحراف، جرم و آسیب‌های اجتماعی دیگر است. اما در مورد بحث اصلی ما یعنی بزه‌دیدگی: توجه حمایتی از قربانی جرم در حقوق و جرم‌شناسی در دهه‌های اخیر پررنگ شده است. در قلمرو كیفری، قانونگذار یك سلسله حقوق سنتی و كلاسیك برای بزه‌دیده (شاكی) در قوانین و مقررات ماهوی و شكلی پیش‌بینی كرده است اما از مفاهیم جدید در زمینه حقوق بزه‌دیده در مراحل مختلف فرآیند كیفری خبری نیست.</w:t>
      </w:r>
    </w:p>
    <w:p w14:paraId="472AF0D3"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 xml:space="preserve">به عبارت دیگر، از نظر بزه‌دیده‌شناسی، بزه‌دیده از دو زاویه مورد بررسی قرار می‌گیرد: اول، به لحاظ نقشی كه در وقوع جرم ممكن است ایفا كرده باشد، در این مورد كافی است به بند 3 ماده 22 قانون مجازات اسلامی </w:t>
      </w:r>
      <w:r w:rsidRPr="00866D80">
        <w:rPr>
          <w:rFonts w:cs="B Lotus"/>
          <w:sz w:val="28"/>
          <w:szCs w:val="28"/>
          <w:rtl/>
        </w:rPr>
        <w:lastRenderedPageBreak/>
        <w:t>اشاره كنیم (اوضاع و احوال خاصی كه متهم تحت تاثیر آنها مرتكب جرم شده است از قبیل رفتار و گفتار تحریك‌آمیز مجنی علیه یا وجود...).</w:t>
      </w:r>
    </w:p>
    <w:p w14:paraId="556596A8"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دوم، به لحاظ تحمل جرم و آثار نامطلوب آن، كه در این صورت حقوق و نیازهای شخص را در وضعیت بزه‌دیدگی برآورد و مطالعه می‌كنیم. رویكرد اخیر است كه امروزه در بزه‌دیده‌شناسی بیشتر مورد توجه پژوهشگران و قانوگذاران قرار گرفته است اما منابع حقوق كیفری در قلمرو بزه‌دیدگی اطفال و نوجوانان عبارتند از:</w:t>
      </w:r>
      <w:r w:rsidRPr="00866D80">
        <w:rPr>
          <w:rFonts w:cs="B Lotus"/>
          <w:sz w:val="28"/>
          <w:szCs w:val="28"/>
          <w:rtl/>
        </w:rPr>
        <w:br/>
        <w:t>1- اسناد بین‌‌المللی الزام‌آور و ارشادی 2- قانون اساسی 3- قوانین و مقررات عادی، رویه قضائی.</w:t>
      </w:r>
      <w:r w:rsidRPr="00866D80">
        <w:rPr>
          <w:rFonts w:cs="B Lotus"/>
          <w:sz w:val="28"/>
          <w:szCs w:val="28"/>
          <w:rtl/>
        </w:rPr>
        <w:br/>
        <w:t>در میان اسناد مهم بین‌المللی مربوط به اطفال،‌ باید به كنوانسیون بین‌المللی حقوق كودك 1989 اشاره كرد. این كنوانسیون جزء منابع فراملی حقوق ایران محسوب می‌شود، چون ایران آن را در سال 1372 تصویب كرده و به عبارتی به مفاد آن متعهد شده است.</w:t>
      </w:r>
    </w:p>
    <w:p w14:paraId="35519A3A"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ماده 3 این كنوانسیون، مهمترین ماده از نظر معنا و آثار برای حقوق كودكان (افراد زیر 18 سال) می‌باشد. به موجب این ماده «مصالح عالیه اطفال» همواره باید در مراجع مختلف مورد توجه قرار گیرد.</w:t>
      </w:r>
      <w:r w:rsidRPr="00866D80">
        <w:rPr>
          <w:rFonts w:cs="B Lotus"/>
          <w:sz w:val="28"/>
          <w:szCs w:val="28"/>
          <w:rtl/>
        </w:rPr>
        <w:br/>
        <w:t>كنوانسیون حقوق كودك در قلمرو كیفری دو سری ماده دارد. از یك سو، موضوع مواد 37 و 40 این كنوانسیون ناظر بر «بزه‌كاری اطفال» است كه به دولت‌ها توصیه می‌كند دادگاه‌های ویژه اطفال تاسیس كنند. حقوق طفل متهم را به طور خاص و افتراقی نسبت به حقوق متهمین بزرگسال تعیین و رعایت كنند. (در كنار این كنوانسیون، از مقررات پكن (بیجینگ) را نیز داریم كه جنبه ارشادی دارد و مواد آن به تفصیل ساختار عدالت كیفری ویژه اطفال را تعریف و به عنوان مدل مطلوب جهانی به دولت‌ها توصیه می‌كند.) از سوی دیگر، مفاد چند ماده كنوانسیون ناظر بر «بزه‌دیدگی اطفال» است. ماده 19 حمایت از اطفال در برابر كلیه اشكال خشونت‌های جسمانی و روانی، ماده 32 حمایت از اطفال در برابر انواع بهره‌كشی‌های اقتصادی و كارهای زیانبار و سن كار را مطرح می‌كند.</w:t>
      </w:r>
    </w:p>
    <w:p w14:paraId="16966BD4"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ماده 34 اشاره به حمایت از اطفال در برابر سوءاستفاده‌ها و بهره‌كشی‌های جنسی اعم از فیزیكی و فحشا و استفاده از اطفال در هرزه‌نگاری دارد. ماده 34 به دولت‌‌ها توصیه می‌كند برای مبارزه با قاچاق اطفال و سوءاستفاده جنسی از آنان با یكدیگر قرارداد همكاری منعقد كنند. ماده 35 به كودك‌ربایی و قاچاق و خرید و فروش كودكان كه جملگی در حقوق ما نیز وارد شده است (قانون مبارزه با قاچاق انسان، 1383) اشاره دارد.</w:t>
      </w:r>
    </w:p>
    <w:p w14:paraId="23B365CE"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lastRenderedPageBreak/>
        <w:t>ماده 39 كه از نظر جرم‌شناسی‌ بالینی جالب است دولت‌ها را مكلف می‌كند كه به درمان و بازپروری اطفالِ قربانیِ شكنجه، بهره‌كشی جنسی و اقتصادی و اذیت و آزار خانوادگی توجه كنند. بدین‌سان، اطفال بزه‌دیده بعضی جرائم، با مجازاتِ صرفِ مرتكبین تسلی پیدا نمی‌كنند و درمان نمی‌شوند، بلكه به درمان روانی، عاطفی و جسمانی به معنای پزشكی و بالینی نیاز دارند. در این خصوص، حقوق ایران ساكت است.</w:t>
      </w:r>
    </w:p>
    <w:p w14:paraId="345555BF"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اما قانون اساسی. در این قانون اصل یا اصولی به طور مستقیم به طفل اختصاص داده نشده است، اما در مقدمه قانون اساسی، تحت عنوان «زن در قانون اساسی» به جایگاه و حقوق زن به عنوان «مادر و تربیت‌كننده نسل‌های آینده» تاكید شده است. در اصل دهم بر آسان كردن تشكیل خانواده به عنوان «واحد بنیادی جامعه» تاكید شده است. اصل بیست و یكم به صراحت به حمایت از مادران به خصوص در دوران بارداری و حضانت فرزند و نیز حمایت از كودكان بی‌سرپرست و در بند پنجم اصل 21 به اعطای قیومیت فرزندان به مادران شایسته در جهت غبطه آنان اشاره شده است. به این ترتیب، تربیت كودكان توسط مادران شایسته، به نوعی زمینه پیشگیری اجتماعی از بزه‌دیدگی آنان را نیز فراهم می‌كند.</w:t>
      </w:r>
    </w:p>
    <w:p w14:paraId="1FD237CB" w14:textId="5ACF3FCE"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اما قوانین و مقررات عادی در دو قالب از اطفال در برابر بزهكاری حمایت می‌كنند. اول از طریق سازوكار كیفیات مشدد، حمایت از اطفال بزه‌دیده را تقویت می‌كند. دوم از طریق وضع جرایم جدید، یعنی جرایمی كه موضوعش كودك است. در خصوص شیوه اول، می‌توان به جرم آدم‌ربایی اشاره كرد كه اگر فرد ربوده شده زیر 15 سال داشته باشد، مجازات تشدید می‌شود (ماده 621 ق.م.ا). این یك نوع حمایت افتراقی از طفل در برابر جرم است. اما در قوانین ایران، با وضع جرایم خاص كه می‌توان در قانون مجازات اسلامی (بخش تعزیرات فصل هفدهم) مشاهده كرد نیز از اطفال حمایت ویژه صورت گرفته است.قانونگذار</w:t>
      </w:r>
      <w:r w:rsidR="000D46FD">
        <w:rPr>
          <w:rFonts w:cs="B Lotus" w:hint="cs"/>
          <w:sz w:val="28"/>
          <w:szCs w:val="28"/>
          <w:rtl/>
        </w:rPr>
        <w:t xml:space="preserve"> </w:t>
      </w:r>
      <w:r w:rsidRPr="00866D80">
        <w:rPr>
          <w:rFonts w:cs="B Lotus"/>
          <w:sz w:val="28"/>
          <w:szCs w:val="28"/>
          <w:rtl/>
        </w:rPr>
        <w:t xml:space="preserve"> نظر حمایتی خاص خود از اطفال را در عنوان فصل القاء كرده است: جرایم علیه اشخاص و اطفال. ماده 633 تا اندازه‌ای از طفل در برابر خطر بزه‌دیدگی حمایت به عمل می‌آورد. این ماده یكی از مصادیق حمایت از كودكان در برابر خطر است. ماده 631 مخفی كردن طفل تازه متولد شده را جرم‌انگاری كرده. فلسفه این جرم‌انگاری حمایت از نوزاد است. در حقوق انگلستان برای حمایت از حیات نوزاد، جرم خاصی در باب قتل داریم تحت عنوان «نوزادكشی» كه از قتل عادی تفكیك شده است. این یك حمایت صریح و مستقل از اطفال است.</w:t>
      </w:r>
    </w:p>
    <w:p w14:paraId="5EB31E0B"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 xml:space="preserve">در ماده632 به خودداری از سپردن طفل به شخصی كه قانونا حق مطالبه دارد و ماده 619 كلا به حمایت از كودكان و زنان در معابر عمومی در برابر حركات و رفتار زشت اختصاص داده شده است. ماده 642 اشاره </w:t>
      </w:r>
      <w:r w:rsidRPr="00866D80">
        <w:rPr>
          <w:rFonts w:cs="B Lotus"/>
          <w:sz w:val="28"/>
          <w:szCs w:val="28"/>
          <w:rtl/>
        </w:rPr>
        <w:lastRenderedPageBreak/>
        <w:t>دارد به حمایت افراد واجب‌النفقه كه عدم پرداخت آن ممكن است زمینه فساد فرزندان را نیز فراهم كند كه این می‌تواند مصداق حمایت از اطفال در معرض خطر باشد و سرانجام ماده 713 كه در آن گماردن صغار به تكدی جرم‌انگاری شده است. این حمایت‌های تقنینی با اقتباس از مواد قانون مجازات عمومی 1304 یا یك سلسله قوانین متعارف و سنتی صورت گرفته است. اما در سال 1381 قانونگذار، قانون حمایت از كودكان و نوجوانان را تصویب كرد. اولا عنوان این قانون، خود جنبه آموزشی دارد زیرا حمایت را القا می‌كند.</w:t>
      </w:r>
    </w:p>
    <w:p w14:paraId="189467C9"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ثانیا به موجب ماده 1، كسانی را مشمول حمایت این قانون قرار داده كه به سن 18 سال هجری شمسی نرسیده باشند كه این ماده با اقتباس از ماده 1 كنوانسیون حقوق كودك انشاء شده است. بدین سان می‌توان گفت كه حمایت از اطفال در برابر جرم در قانون مجازات اسلامی شامل دختران زیر 9 سال قمری و پسران زیر 15 سال می‌شود (ماده 49 و تبصره‌های آن).</w:t>
      </w:r>
    </w:p>
    <w:p w14:paraId="105E510E"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اما در ماده 1 قانون 1381، اشخاص زیر 18 سال را در نظر گرفته‌اند. لذا حمایت این دو قانون در مقام اجرا فرق دارند. ویژگی دیگر قانون 1381، این است كه مواد آن با الهام از مواد 19، 32، 34 و 35 كنوانسیون حقوق كودك تنظیم و انشاء شده است، اما كاملا منطبق با مفاد كنوانسیون نیست. ایراد شورای نگهبان سبب شد این قانون در نهایت با یك قید مهم به تصویب برسد.</w:t>
      </w:r>
    </w:p>
    <w:p w14:paraId="0D58410F"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در ماده 7 این قانون مقرر شده كه اقدامات تربیتی كه در چارچوب ماده 1179 قانون مدنی و ماده 59 قانون مجازات اسلامی نسبت به اطفال اعمال می‌شود از شمول این قانون خارج است. یعنی والدین حق تنبیه اطفال را در حد متعارف دارند و بنابراین چنین تنبیهاتی اذیت و آزار محسوب نمی‌شود. با توجه به اینكه عمده موارد كودك‌آزاری در بستر خانواده صورت می‌گیرد، آیا ماده 7 زمینه سوءاستفاده را فراهم نمی‌كند؟ با وجود ماده 7 تفكیك اذیت و آزار از تنبیه متعارف برای تربیت اطفال موضوع این قانون مشكل نیست؟</w:t>
      </w:r>
    </w:p>
    <w:p w14:paraId="0DC48E0E"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از ویژگی‌های دیگر قانون این است كه كلیه جرایم پیش‌بینی شده جنبه عمومی دارند. كلیه اشخاصی كه به نوعی از كودك‌آزاری مطلع می‌شوند، مكلف هستند مراتب را به مراجع صالحه قضائی اعلام كنند. در غیر این صورت مجرم‌اند. اما در مورد بزه‌دیدگی اطفال باید قانون مبارزه با قاچاق انسان كه در سال 1383 تصویب شد نیز توجه كرد.</w:t>
      </w:r>
    </w:p>
    <w:p w14:paraId="488A6C01"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lastRenderedPageBreak/>
        <w:t>قانونگذار با الهام از پروتكل اول الحاقی به كنوانسیون مبارزه با بزهكاری سازمان یافته فراملی 2000، این قانون را تنظیم و در نهایت تصویب كرد. در زمینه قاچاق انسان، حقوق ایران خلاء داشته است. در این قانون، انواع قاچاق بین‌المللی انسان به منظور فحشاء، برده‌داری، برداشت اعضاء و جوارح و ازدواج جرم‌انگاری شده است چنانچه فرد قاچاق شده زیر 18 سال داشته باشد، مجازات مرتكب تشدید می‌شود كه خود حاكی از حمایت كیفری ویژه از اطفال است.. به این ترتیب قانونگذار در بخش تعزیرات قانون مجازات اسلامی و در قانون حمایت از كودكان و نوجوانان و نیز قانون مبارزه با قاچاق انسان به نوعی از اطفال در برابر بزهكاری حمایت كیفری به عمل آورده است.</w:t>
      </w:r>
    </w:p>
    <w:p w14:paraId="015E2FB2"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اما در مورد رویه قضائی، به عنوان یكی از منابع حقوقی كیفری اطفال به طور كلی، می‌توان از جمله رای وحدت رویه مورخ 1385/4/2 را نقل كرد كه مقرر می‌دارد: رسیدگی بدوی به جرائم موضوع تبصره 1 ماده 20 قانون 1381، با توجه به اهمیت آنها از نظر شدت مجازات و لزوم اعمال دقت بیشتر از حیث آثار اجتماعی، از صلاحیت عام و كلی دادگاه اطفال كه با یك نفر قاضی اداره می‌شود، به طور ضمنی منتزع گردیده، در صلاحیت انحصاری دادگاه كیفری استان كه غالبا از پنج نفر قاضی تشكیل می‌یابد قرار داده شده است ....؛ بدین ترتیب، به نظر اكثریت اعضای هیات عمومی دیوان عالی كشور، صلاحیت كلی دادگاه‌های اطفال در رسیدگی به تمام جرایم اشخاص بالغ كمتر از هجده سال تمام، با تصویب تبصره 1 ماده 20 قانون اصلاح قانون تشكیل دادگاه‌های عمومی و انقلاب مصوب 1381، منحصرا در رسیدگی به جرایم مذكور در این تبصره مستثنا گردیده است.</w:t>
      </w:r>
    </w:p>
    <w:p w14:paraId="15585E2A" w14:textId="0823D36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قانون حمایت از كودكان و نوجوانان عمدتا ناشی از ابتكار و تلاش سازمان‌های مردم نهاد با حمایت سازمان بهزیستی است. این قانون عاری از ایرادهای فنی و حقوقی و جرم شناختی نیست. اما گامی به جلو در جهت ارتقاء حقوق كودكان است.</w:t>
      </w:r>
    </w:p>
    <w:p w14:paraId="6420C241"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آیا مفهوم طفل در معرض خطر را می‌توان از بندهای ماده 1173 قانون مدنی كه در سال 76 تصویب شد، به صورت مستقل استنباط كرد؟ آیا می‌شود خطر را مستقل از ماده بیرون آورد. آیا این عنوان مستقل از ماده 1173 قانون مدنی قابل استخراج است یا نه؟ مفاد ماده 1173 جدید نیست. پیش از این، تعبیر «اطفال در معرض خطر» در آیین‌نامه امور خلافی 1324 به كار برده شده بود.</w:t>
      </w:r>
    </w:p>
    <w:p w14:paraId="57C91ECA"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lastRenderedPageBreak/>
        <w:t>ما در جهت رعایت پیمان‌ حقوق كودك و هم به دلیل ضرورت‌های روز از این مفهوم استفاده می‌كنیم. خود قانونگذار مصادیقی از این خطر را به صورت بندهای ذیل ماده 1173 قانون مدنی،‌در سال 1376 اضافه كرده است. این نشان می‌دهد كه قانونگذار در سال 76 توجه داشته كه چگونه ممكن است صحت جسمانی و تربیت اخلاقی طفل به لحاظ وضعیت والدین یا یكی از آنان در معرض خطر قرار گیرد و موارد تهدید كدامند كه در ذیل این ماده موارد خطر را پیش‌بینی كرده كه محدود به این هم نیست.</w:t>
      </w:r>
    </w:p>
    <w:p w14:paraId="59AF09CB"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ما باید از این مفهوم نهایت استفاده را برای حمایت از اطفال بكنیم اینها ضلع‌های مثلثی هستند كه هرم حمایتی باید بر مبنای آن بنا شود. یعنی اطفال در معرض خطر، اطفال بزه‌دیده و اطفال بزهكار. در هر حال مصالح عالیه كودك باید مورد نظر باشد.</w:t>
      </w:r>
    </w:p>
    <w:p w14:paraId="2B17857E"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به عبارت دیگر، قانونگذار تعبیر اطفال در معرض خطر را به عنوان مصداق آورده است. قوانین ناظر بر اطفال عموما حمایتی هستند. حمایت كیفری هم بیشتر در جهت غبطه طفل در قالب جرم‌انگاری صورت گرفته است، ولی این مجازات‌ها كفایت نمی‌كند، اما گاهی در موقعیت بینابین هستیم و این احتمال بسیار قوی وجود دارد كه شاهد ارتكاب جرم توسط طفل یا تحمل جرم توسط او باشیم، چون این وضعیت و حالت دلالت بر این می‌كند كه باید درآینده منتظر حادثه باشیم، سوءرفتارهای خانواده، هرچند نیت بدی هم نباشد و فقط برای تنبیه تربیتی هم باشد اگر تكرار شود وضعیت دشوار برای كودك به وجود می‌آورد. كودك تحقیر می‌شود و به سلامت جسمانی و روانی او خلل وارد خواهد شد.</w:t>
      </w:r>
    </w:p>
    <w:p w14:paraId="4068F6F5"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اقدامات پدر و مادر اصولا نباید جنبه سلبی داشته باشد. كوتاهی در نگهداری و تربیت و عدم فراهم كردن بستر تربیت اطفال جنبه سلبی دارد. طفلی كه در چنین بستری قرار می‌گیرد، در واقع در معرض خطر و تهدید است. كودكان بی‌سرپرست كه قانون خاص خود را دارد. كوشش معاونت حقوقی و توسعه قضائی این است كه لایحه قانون حمایت كودكان در معرض خطر را به مجلس ببرد.</w:t>
      </w:r>
    </w:p>
    <w:p w14:paraId="055DB5D6" w14:textId="77777777" w:rsidR="000D42B3" w:rsidRPr="00866D80" w:rsidRDefault="001B64DC" w:rsidP="008206A3">
      <w:pPr>
        <w:pStyle w:val="NormalWeb"/>
        <w:bidi/>
        <w:spacing w:line="276" w:lineRule="auto"/>
        <w:jc w:val="both"/>
        <w:rPr>
          <w:rFonts w:cs="B Lotus"/>
          <w:sz w:val="28"/>
          <w:szCs w:val="28"/>
          <w:rtl/>
        </w:rPr>
      </w:pPr>
      <w:r w:rsidRPr="00866D80">
        <w:rPr>
          <w:rFonts w:cs="B Lotus"/>
          <w:sz w:val="28"/>
          <w:szCs w:val="28"/>
          <w:rtl/>
        </w:rPr>
        <w:t>آیین‌نامه پیشگیری از اعتیاد، درمان معتادان و حمایت از افراد در معرض خطر اعتیاد كه ستاد مبارزه با مواد مخدر در اسفند 77 و در اجرای مواد 33 و 34 قانون مبارزه با مواد مخدر 1376 تصویب كرده است نیز به نوعی به اطفال در معرض خطر عنایت دارد.</w:t>
      </w:r>
    </w:p>
    <w:p w14:paraId="15D6FA16" w14:textId="470E2993" w:rsidR="001B64DC" w:rsidRPr="00866D80" w:rsidRDefault="001B64DC" w:rsidP="000D42B3">
      <w:pPr>
        <w:pStyle w:val="NormalWeb"/>
        <w:bidi/>
        <w:spacing w:line="276" w:lineRule="auto"/>
        <w:jc w:val="both"/>
        <w:rPr>
          <w:rFonts w:cs="B Lotus"/>
          <w:sz w:val="28"/>
          <w:szCs w:val="28"/>
          <w:rtl/>
        </w:rPr>
      </w:pPr>
      <w:r w:rsidRPr="00866D80">
        <w:rPr>
          <w:rFonts w:cs="B Lotus"/>
          <w:sz w:val="28"/>
          <w:szCs w:val="28"/>
          <w:rtl/>
        </w:rPr>
        <w:lastRenderedPageBreak/>
        <w:t>به موجب ماده 5 این آیین‌نامه، وزارت آموزش و پرورش مكلف شده است چنانچه دانش‌آموزانی در معرض آسیب بودند به نهادهای حمایتی و تامینی معرفی كند. یعنی اگر دانش‌آموزی در معرض خطر اعتیاد و استعمال مواد مخدر است. در این مورد طفل به لحاظ رفتار خود در معرض اعتیاد قرار دارد. در ماده 1173 قانون مدنی، طفل به لحاظ وضعیت والدین در معرض خطر است.</w:t>
      </w:r>
    </w:p>
    <w:p w14:paraId="7344D2BD" w14:textId="77777777" w:rsidR="001B64DC" w:rsidRPr="00866D80" w:rsidRDefault="001B64DC" w:rsidP="008206A3">
      <w:pPr>
        <w:pStyle w:val="NormalWeb"/>
        <w:bidi/>
        <w:spacing w:line="276" w:lineRule="auto"/>
        <w:jc w:val="both"/>
        <w:rPr>
          <w:rFonts w:cs="B Lotus"/>
          <w:sz w:val="28"/>
          <w:szCs w:val="28"/>
          <w:rtl/>
        </w:rPr>
      </w:pPr>
      <w:r w:rsidRPr="00866D80">
        <w:rPr>
          <w:rFonts w:cs="B Lotus"/>
          <w:sz w:val="28"/>
          <w:szCs w:val="28"/>
          <w:rtl/>
        </w:rPr>
        <w:t>«رها كردن طفل در منطقه عاری از سكنه»، نیز یك مصداق از طفل در معرض خطر است، ولی قانونگذار ایران آن را جرم‌انگاری كرده است. لذا جای تعجب نیست كه نویسندگان فرانسوی‌، طفل در معرض خطر را مفهومی بینابین تلقی كرده‌اند، یعنی چنین طفلی ممكن است بزه‌دیده نیز شناخته شود. تفكیك این‌ها از هم گاه مشكل است. بهتر است در لایحه قانون رسیدگی به جرائم اطفال این مورد را اضافه كنیم كه در مواقعی كه طفلی به دلایلی در معرض خطر است...، تصمیم‌گیری درباره او در صلاحیت دادگاه اطفال باشد یعنی قاضی اطفال هم قاضی مدنی و هم قاضی كیفری باشد. (مانند حقوق فرانسه)</w:t>
      </w:r>
    </w:p>
    <w:p w14:paraId="2EB3EE8E" w14:textId="31EE20B3" w:rsidR="000D42B3" w:rsidRPr="00866D80" w:rsidRDefault="000D42B3" w:rsidP="008206A3">
      <w:pPr>
        <w:spacing w:before="100" w:beforeAutospacing="1" w:after="100" w:afterAutospacing="1" w:line="276" w:lineRule="auto"/>
        <w:jc w:val="both"/>
        <w:rPr>
          <w:rFonts w:ascii="Times New Roman" w:eastAsia="Times New Roman" w:hAnsi="Times New Roman" w:cs="B Lotus"/>
          <w:b/>
          <w:bCs/>
          <w:sz w:val="28"/>
          <w:szCs w:val="28"/>
          <w:rtl/>
          <w:lang w:bidi="ar-SA"/>
        </w:rPr>
      </w:pPr>
      <w:r w:rsidRPr="00866D80">
        <w:rPr>
          <w:rFonts w:ascii="Times New Roman" w:eastAsia="Times New Roman" w:hAnsi="Times New Roman" w:cs="B Lotus" w:hint="cs"/>
          <w:b/>
          <w:bCs/>
          <w:sz w:val="28"/>
          <w:szCs w:val="28"/>
          <w:rtl/>
          <w:lang w:bidi="ar-SA"/>
        </w:rPr>
        <w:t xml:space="preserve">4ـ حمایت ازمعلولان بزه دیده </w:t>
      </w:r>
    </w:p>
    <w:p w14:paraId="1841DE74" w14:textId="3B04D15C"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اگر کسی (شخصیت حقیقی) یا نهاد و سازمانی (شخصیت حقوقی) و حتی اگر دولتی جرم‌هایی علیه معلولان مرتکب شدند؛ آن هم جرم‌های قطعی که کسی در جرم بودن آن شک و شبهه ندارد، معلولان بر اساس چه قانونی باید اقدام کنند و چه راه کار حقوقی در جهان وجود دارد؟به عنوان مثال هیتلر تعداد انبوه، تا شصت هزار نفر گفته‌اند، از معلولان را سوزاند و نابود کرد. البته به زعم خودش ادعاهایی داشت که عملش را توجیه می‌کرد. اما چنین اقدام و رویه‌ای قطعاً از نظر حقوق‌دانان جرم است</w:t>
      </w:r>
      <w:r w:rsidRPr="00866D80">
        <w:rPr>
          <w:rFonts w:ascii="Times New Roman" w:eastAsia="Times New Roman" w:hAnsi="Times New Roman" w:cs="B Lotus"/>
          <w:sz w:val="28"/>
          <w:szCs w:val="28"/>
          <w:lang w:bidi="ar-SA"/>
        </w:rPr>
        <w:t>.</w:t>
      </w:r>
      <w:r w:rsidRPr="00866D80">
        <w:rPr>
          <w:rFonts w:ascii="Times New Roman" w:eastAsia="Times New Roman" w:hAnsi="Times New Roman" w:cs="B Lotus"/>
          <w:sz w:val="28"/>
          <w:szCs w:val="28"/>
          <w:rtl/>
          <w:lang w:bidi="ar-SA"/>
        </w:rPr>
        <w:t>یا پدری فرزند دارای معلولیت خود را به روشی از حیات ساقط و نابود می‌نماید و به قتل می‌رساند. چنین اقدامی از نظر حقوقی قطعاً جرم است</w:t>
      </w:r>
      <w:r w:rsidRPr="00866D80">
        <w:rPr>
          <w:rFonts w:ascii="Times New Roman" w:eastAsia="Times New Roman" w:hAnsi="Times New Roman" w:cs="B Lotus"/>
          <w:sz w:val="28"/>
          <w:szCs w:val="28"/>
          <w:lang w:bidi="ar-SA"/>
        </w:rPr>
        <w:t>.</w:t>
      </w:r>
      <w:r w:rsidRPr="00866D80">
        <w:rPr>
          <w:rFonts w:ascii="Times New Roman" w:eastAsia="Times New Roman" w:hAnsi="Times New Roman" w:cs="B Lotus"/>
          <w:sz w:val="28"/>
          <w:szCs w:val="28"/>
          <w:lang w:bidi="ar-SA"/>
        </w:rPr>
        <w:br/>
      </w:r>
      <w:r w:rsidRPr="00866D80">
        <w:rPr>
          <w:rFonts w:ascii="Times New Roman" w:eastAsia="Times New Roman" w:hAnsi="Times New Roman" w:cs="B Lotus"/>
          <w:sz w:val="28"/>
          <w:szCs w:val="28"/>
          <w:rtl/>
          <w:lang w:bidi="ar-SA"/>
        </w:rPr>
        <w:t xml:space="preserve">متأسفانه در «قانون حمایت از حقوق معلولان» مصوب مجلس شورای اسلامی در </w:t>
      </w:r>
      <w:r w:rsidRPr="00866D80">
        <w:rPr>
          <w:rFonts w:ascii="Times New Roman" w:eastAsia="Times New Roman" w:hAnsi="Times New Roman" w:cs="B Lotus"/>
          <w:sz w:val="28"/>
          <w:szCs w:val="28"/>
          <w:lang w:bidi="ar-SA"/>
        </w:rPr>
        <w:t>1396</w:t>
      </w:r>
      <w:r w:rsidRPr="00866D80">
        <w:rPr>
          <w:rFonts w:ascii="Times New Roman" w:eastAsia="Times New Roman" w:hAnsi="Times New Roman" w:cs="B Lotus"/>
          <w:sz w:val="28"/>
          <w:szCs w:val="28"/>
          <w:rtl/>
          <w:lang w:bidi="ar-SA"/>
        </w:rPr>
        <w:t>، در این باره ماده و بندی نیامده و در واقع تکلیف کسانی که مرتکب جرم علیه معلولان می‌شوند را به روشنی بیان نکرده است. ممکن است گفته شود در دیگر قوانین ایران یا اسلام، مجازات چنین جرم‌هایی قطعی است. مثلاً در قانون جزا یا در قانون مجازات اسلامی، کیفر این جرایم مذکور است و نیازی نبوده که در قانون حمایت از حقوق معلولان هم بیاورند. اما مناسب‌ می‌بود در قانون معلولان حداقل یک ماده به صورت ارجاع به دیگر قوانین و به عنوان تعیین تکلیف آورده می‌شد</w:t>
      </w:r>
      <w:r w:rsidRPr="00866D80">
        <w:rPr>
          <w:rFonts w:ascii="Times New Roman" w:eastAsia="Times New Roman" w:hAnsi="Times New Roman" w:cs="B Lotus"/>
          <w:sz w:val="28"/>
          <w:szCs w:val="28"/>
          <w:lang w:bidi="ar-SA"/>
        </w:rPr>
        <w:t>.</w:t>
      </w:r>
      <w:r w:rsidRPr="00866D80">
        <w:rPr>
          <w:rFonts w:ascii="Times New Roman" w:eastAsia="Times New Roman" w:hAnsi="Times New Roman" w:cs="B Lotus"/>
          <w:b/>
          <w:bCs/>
          <w:sz w:val="28"/>
          <w:szCs w:val="28"/>
          <w:lang w:bidi="ar-SA"/>
        </w:rPr>
        <w:t> </w:t>
      </w:r>
    </w:p>
    <w:p w14:paraId="6299E012" w14:textId="77777777" w:rsidR="000D42B3"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rtl/>
          <w:lang w:bidi="ar-SA"/>
        </w:rPr>
      </w:pPr>
      <w:r w:rsidRPr="00866D80">
        <w:rPr>
          <w:rFonts w:ascii="Times New Roman" w:eastAsia="Times New Roman" w:hAnsi="Times New Roman" w:cs="B Lotus"/>
          <w:b/>
          <w:bCs/>
          <w:sz w:val="28"/>
          <w:szCs w:val="28"/>
          <w:lang w:bidi="ar-SA"/>
        </w:rPr>
        <w:lastRenderedPageBreak/>
        <w:t>:</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آمارها گویا است که میزان بزه دیدگی و خشونت پذیری اشخاص معلول نسبت به سایر افراد و اقشار جامعه بیشتر است. افراد آسیب‌پذیر به دلیل ویژگی‌های شخصی و موقعیت اجتماعی مثل فقدان پشتیبانی لازم، بیشتر در معرض انواع سوءاستفاده و اعمال بزه و جرم روی آنها هستند</w:t>
      </w:r>
      <w:r w:rsidRPr="00866D80">
        <w:rPr>
          <w:rFonts w:ascii="Times New Roman" w:eastAsia="Times New Roman" w:hAnsi="Times New Roman" w:cs="B Lotus"/>
          <w:sz w:val="28"/>
          <w:szCs w:val="28"/>
          <w:lang w:bidi="ar-SA"/>
        </w:rPr>
        <w:t>.</w:t>
      </w:r>
      <w:r w:rsidRPr="00866D80">
        <w:rPr>
          <w:rFonts w:ascii="Times New Roman" w:eastAsia="Times New Roman" w:hAnsi="Times New Roman" w:cs="B Lotus"/>
          <w:sz w:val="28"/>
          <w:szCs w:val="28"/>
          <w:rtl/>
          <w:lang w:bidi="ar-SA"/>
        </w:rPr>
        <w:t>افراد سودجو و فرصت طلب اساساً دنبال طعمه‌هایی هستند که کمتر دردسر برایشان داشته باشند و آنان را وسیله و آلت دست خود می‌کنند. معمولاً معلولان برای آنان طعمه‌های مناسبی هستند. قاچاق فروش‌ها هیچ‌گاه از فرزندان شخصیت‌هایی که در دستگاه‌های دولتی موقعیت و پست دارند استفاده نمی‌کنند زیرا زود به دام می‌افتند ولی بچه‌ای که معلولیت دارد و کسی را ندارد یا والدین او درگیر ده‌ها مشکل هستند او را به راحتی آلت دست خود می‌کنند و از او سوء استفاده می‌نمایند. بعضی دلیل این مسئله را این‌گونه بیان کرده‌اند</w:t>
      </w:r>
      <w:r w:rsidRPr="00866D80">
        <w:rPr>
          <w:rFonts w:ascii="Times New Roman" w:eastAsia="Times New Roman" w:hAnsi="Times New Roman" w:cs="B Lotus"/>
          <w:sz w:val="28"/>
          <w:szCs w:val="28"/>
          <w:lang w:bidi="ar-SA"/>
        </w:rPr>
        <w:t>:</w:t>
      </w:r>
    </w:p>
    <w:p w14:paraId="31FFD2EC" w14:textId="4BD74CFA"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مهم‌ترین دلیل اینکه خشونت‌پذیری و بزه‌پذیری یا بزه‌دیدگی در معلولان زیادتر بوده، این است که آنان از نظر جسمی و ذهنی ضعیف هستند و نمی‌توانند مصالح خود را به درستی بفهمند و تشخیص دهند و از طرف دیگر از نظر جسمی هم قدرت لازم بری دفاع از خود را ندارند. و سوم اینکه از نظر اجتماعی هم ضعیف و آسیب‌پذیر هستند؛ برای مثال نیازمندی مالی دارند و فقیراند و با یک پیشنهاد سودآور، به کار خلاف کشیده می‌شوند</w:t>
      </w:r>
      <w:r w:rsidR="000D42B3" w:rsidRPr="00866D80">
        <w:rPr>
          <w:rStyle w:val="FootnoteReference"/>
          <w:rFonts w:ascii="Times New Roman" w:eastAsia="Times New Roman" w:hAnsi="Times New Roman" w:cs="B Lotus"/>
          <w:sz w:val="28"/>
          <w:szCs w:val="28"/>
          <w:rtl/>
          <w:lang w:bidi="ar-SA"/>
        </w:rPr>
        <w:footnoteReference w:id="19"/>
      </w:r>
      <w:r w:rsidRPr="00866D80">
        <w:rPr>
          <w:rFonts w:ascii="Times New Roman" w:eastAsia="Times New Roman" w:hAnsi="Times New Roman" w:cs="B Lotus"/>
          <w:sz w:val="28"/>
          <w:szCs w:val="28"/>
          <w:rtl/>
          <w:lang w:bidi="ar-SA"/>
        </w:rPr>
        <w:t>البته در کلیت این داوری‌ها اشکال هست و نمی‌توان گفت همه معلولان از نظر ذهنی ضعیف‌اند ولی به روی جزئی درست است و بعضی از آنها این مشکل را دارند</w:t>
      </w:r>
      <w:r w:rsidRPr="00866D80">
        <w:rPr>
          <w:rFonts w:ascii="Times New Roman" w:eastAsia="Times New Roman" w:hAnsi="Times New Roman" w:cs="B Lotus"/>
          <w:sz w:val="28"/>
          <w:szCs w:val="28"/>
          <w:lang w:bidi="ar-SA"/>
        </w:rPr>
        <w:t>.</w:t>
      </w:r>
      <w:r w:rsidRPr="00866D80">
        <w:rPr>
          <w:rFonts w:ascii="Times New Roman" w:eastAsia="Times New Roman" w:hAnsi="Times New Roman" w:cs="B Lotus"/>
          <w:sz w:val="28"/>
          <w:szCs w:val="28"/>
          <w:rtl/>
          <w:lang w:bidi="ar-SA"/>
        </w:rPr>
        <w:t>به رغم همه اینها آمار جرم و خیانت در جامعه معلولان کمتر است و طبق آمارها، آنان ذاتاً پاک‌تر و کمتر زمینه و استعداد جرم خیزی دارند. ولی آمار اعمال بزه روی آنها یا به اصطلاح سوءاستفاده از آنها زیادتر است</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 xml:space="preserve">البته این موضوع ماهیتاً مربوط به معلولان نیست و در درجه نخست مربوط به کسان دیگر است. دستگاه کیفری و جنایی یا نهادهای امنیتی در کشورها موظف‌اند، چتر حمایتی روی افراد آسیب‌مند و ضعیف ایجاد کنند و به شیوه‌های مختلف از آنان حمایت کنند و اقدامات سوءاستفاده گران را در مرحله اولیه خنثی نمایند. به عبارت دیگر پیشگیری از بزه و جرم را هر چه می‌توانند به عقب ببرند. دستگاهی که از شکل‌گیری جرم پیشگیری نمی‌کند و پس از اجرای جرم و انجام آن به سراغ عوامل و مجریان یا آمران آن می‌رود، نسبت به نهادی که مانع از شکل‌گیری تفکر جرم یا مانع از پیدایش انگیزه در عاملان و آمران برای نقشه کشیدن و سازمان‌دهی اجرای عمل در دهه‌های اخیر دستگاه‌های </w:t>
      </w:r>
      <w:r w:rsidRPr="00866D80">
        <w:rPr>
          <w:rFonts w:ascii="Times New Roman" w:eastAsia="Times New Roman" w:hAnsi="Times New Roman" w:cs="B Lotus"/>
          <w:sz w:val="28"/>
          <w:szCs w:val="28"/>
          <w:rtl/>
          <w:lang w:bidi="ar-SA"/>
        </w:rPr>
        <w:lastRenderedPageBreak/>
        <w:t>جرم‌یاب و کاشفان بزه به سراغ پیشگیری‌های مدرن‌تر و پیشرفته‌تر رفته‌اند و مثل گذشته نیست که جرمی محقق شود و به وقوع بپیوندد آنگاه دستگاه‌های امنیتی یا انتظامی و قضایی به سراغ آن بروند. از این‌رو شیوه‌های سنتی جلوگیری از جرم اکنون به شیوه‌های پیشرفته، تغییر یافته است. اساساً در شهرهای اروپا وقتی قدم می‌زنیم کمتر پلیس و عوامل انتظامی و امنیتی می‌بینیم اما همین پلیس‌ها به شکل نامرئی چند برابر شده‌اند. مثلاً تبدیل به دوربین‌هایی شده‌اند که گاه مخفی و گاه برای ترساندن افراد علنی و در منظر و مرآی مردم نصب شده‌اند. به همین دلیل زمان کشف جرم هم بسیار کمتر شده است. البته نباید غفلت کرد و باید دانست که در مقابل باندهای جرم و جنایت هم فناوری و روش‌های خود را به روز ساخته و شیوه‌های پیچیده‌تر سوءاستفاده از معلولان را طراحی می‌نمایند</w:t>
      </w:r>
      <w:r w:rsidRPr="00866D80">
        <w:rPr>
          <w:rFonts w:ascii="Times New Roman" w:eastAsia="Times New Roman" w:hAnsi="Times New Roman" w:cs="B Lotus"/>
          <w:sz w:val="28"/>
          <w:szCs w:val="28"/>
          <w:lang w:bidi="ar-SA"/>
        </w:rPr>
        <w:t>.</w:t>
      </w:r>
    </w:p>
    <w:p w14:paraId="2F2D7666" w14:textId="3C24B225"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قانون جامع حمایت از معلولان مصوب 1383 توسط مجلس شورای اسلامی ایران، متأسفانه فاقد مواد و بندها در زمینه جرم و بزه علیه معلولان است. فقط در زمینه حمایت از معلولان در ماده 13، تبصره‌های 1 و 2 متذکر شده که سازمان بهزیستی کشور موظف است جهت دفاع از حقوق افراد معلول در محاکم قضایی وکیل تعیین کند و به دادگاه مربوطه معرفی نماید. نیز این سازمان جهت جلوگیری از تضییع حقوق معلولان بی‌سرپرست به نمایندگی از آنان در دادگاه‌ها طرح دعوا و دادخواهی نماید</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0"/>
      </w:r>
    </w:p>
    <w:p w14:paraId="7E23E910"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در واقع این‌گونه قوانین مربوط به پس از وقوع جرم است و پیشگیری از جرم را پوشش نمی‌دهد. همچنین در قانون حمایت از حقوق معلولان (مصوب 96 مصوب مجلس شورای اسلامی) همین وضعیت وجود دارد و قانون‌گذاری گویا از جرم و بزه علیه معلولان غافل بوده است. در این قانون هم مواد ناظر به سامان‌دهی امور به گونه‌ای که جرمی تحقق پیدا نکند نیست</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زمینه‌ها و شرایط تحقق جرم و بزهکاری و شیوه‌های مدرن پیشگیری از جرم را در قانون نیاورده است. آنچه مورد توجه قانون‌گذار بوده، شرایط پس از تحقق جرم است. یا اگر جرمی اتفاق افتاد چه مجازات‌هایی باید اجرا گردد. اما نگفته برای پیشگیری از جرم نهادهای دولتی چه وظایفی دارند یا مردم و دیگر اقشار جامعه چه تعهداتی دارند. به این‌گونه مسائل کارشناسانه نپرداخته است</w:t>
      </w:r>
      <w:r w:rsidRPr="00866D80">
        <w:rPr>
          <w:rFonts w:ascii="Times New Roman" w:eastAsia="Times New Roman" w:hAnsi="Times New Roman" w:cs="B Lotus"/>
          <w:sz w:val="28"/>
          <w:szCs w:val="28"/>
          <w:lang w:bidi="ar-SA"/>
        </w:rPr>
        <w:t>.</w:t>
      </w:r>
    </w:p>
    <w:p w14:paraId="42B10BFD" w14:textId="545938B6"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lastRenderedPageBreak/>
        <w:t>برای نمونه در ماده پنجم، تبصره 3 آورده که متخلفاتی در وزارتخانه راه و شهرسازی و کشور و شهرداری‌ها مکلف به مناسب‌سازی هستند و وظیفه مناسب‌سازی را انجام ندهند بر اساس قانون مجازات اسلامی، محکوم به پرداخت وجه نقدی یا مجازات تعزیری یا انفصال از خدمت می‌شوند</w:t>
      </w:r>
      <w:r w:rsidR="000D42B3" w:rsidRPr="00866D80">
        <w:rPr>
          <w:rStyle w:val="FootnoteReference"/>
          <w:rFonts w:ascii="Times New Roman" w:eastAsia="Times New Roman" w:hAnsi="Times New Roman" w:cs="B Lotus"/>
          <w:sz w:val="28"/>
          <w:szCs w:val="28"/>
          <w:rtl/>
          <w:lang w:bidi="ar-SA"/>
        </w:rPr>
        <w:footnoteReference w:id="21"/>
      </w:r>
    </w:p>
    <w:p w14:paraId="1D25C872"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اما کنوانسیون حقوق معلولان به روش‌های مختلف درصدد برآمده تا زمینه‌های جرم علیه معلولان را از بین ببرد؛ به عنوان مثال در ماده 8 (ارتقای آگاهی‌ها)، دولت را موظف می‌داند که آگاهی‌های جامعه و خانواده را در مورد حقوق معلولان و شیوه‌های احترام به آنان و رعایت شؤون انسانی آنان افزایش دهد؛ تعصبات و آداب رسوم خرافی که موجب بی‌احترامی به معلولان می‌شود یا حقوق آنان را نادیده می‌انگارند را با آموزش‌های درست به مردم از جامعه بزداید؛ در سیستم آموزشی از سنین پایین به گونه‌ای طراحی کند که جامعه از کودکی یاد بگیرد به معلولان احترام بگذارند</w:t>
      </w:r>
      <w:r w:rsidRPr="00866D80">
        <w:rPr>
          <w:rFonts w:ascii="Times New Roman" w:eastAsia="Times New Roman" w:hAnsi="Times New Roman" w:cs="B Lotus"/>
          <w:sz w:val="28"/>
          <w:szCs w:val="28"/>
          <w:lang w:bidi="ar-SA"/>
        </w:rPr>
        <w:t>.</w:t>
      </w:r>
    </w:p>
    <w:p w14:paraId="4D878798" w14:textId="2860F0BE"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همچنین در مده 12 (به رسمیت شناختن تساوی در برابر قانون)، ماده 13 (دسترسی به عدالت)، ماده 15 (رهایی از شکنجه و رفتارهای بی‌رحمانه و تحقیرکننده)، ماده 16 (رهایی از بهره‌کشی، سوءاستفاده و خشونت) به مسائلی اشاره کرده که موجب خشکاندن زمینه‌های جرم و جنایت علیه معلولان می‌شود</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2"/>
      </w:r>
    </w:p>
    <w:p w14:paraId="6369A550" w14:textId="70E32B7F"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پژوهشگران با بررسی دقیق قانون مصوب 83 و قانون مصوب 96 تصریح کرده‌اند که حمایت اجتماعی و جبران آثار معلولیت به عنوان اقداماتی که بزهکاری علیه معلولان را از بین می‌برد یا تقلیل می‌دهد، در این قوانین مغفول و مسکوت است برعکس در کنوانسیون به روشنی به آن پرداخته‌اند</w:t>
      </w:r>
      <w:r w:rsidRPr="00866D80">
        <w:rPr>
          <w:rFonts w:ascii="Times New Roman" w:eastAsia="Times New Roman" w:hAnsi="Times New Roman" w:cs="B Lotus"/>
          <w:sz w:val="28"/>
          <w:szCs w:val="28"/>
          <w:lang w:bidi="ar-SA"/>
        </w:rPr>
        <w:t>.</w:t>
      </w:r>
      <w:r w:rsidR="000D42B3" w:rsidRPr="00866D80">
        <w:rPr>
          <w:rStyle w:val="FootnoteReference"/>
          <w:rFonts w:ascii="Times New Roman" w:eastAsia="Times New Roman" w:hAnsi="Times New Roman" w:cs="B Lotus"/>
          <w:sz w:val="28"/>
          <w:szCs w:val="28"/>
          <w:lang w:bidi="ar-SA"/>
        </w:rPr>
        <w:footnoteReference w:id="23"/>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همچنین ضمانت اجرا یعنی حتمی بودن اجرای قانون به عنوان وظایف دولت در قانون‌های مصوب در ایران چندان مهم و روشمند نیست</w:t>
      </w:r>
      <w:r w:rsidR="000D42B3" w:rsidRPr="00866D80">
        <w:rPr>
          <w:rStyle w:val="FootnoteReference"/>
          <w:rFonts w:ascii="Times New Roman" w:eastAsia="Times New Roman" w:hAnsi="Times New Roman" w:cs="B Lotus"/>
          <w:sz w:val="28"/>
          <w:szCs w:val="28"/>
          <w:rtl/>
          <w:lang w:bidi="ar-SA"/>
        </w:rPr>
        <w:footnoteReference w:id="24"/>
      </w:r>
    </w:p>
    <w:p w14:paraId="6F1B2C8F"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 xml:space="preserve">یکی از موارد حمایت کیفری ماهوی ویژه از ناتوانان در برابر سوءاستفاده اقتصادی در قوانین کیفری ایران، ماده 596 قانون مجازات بخش تعزیرات مصوب 1375 است که در ارتباط با سوءاستفاده از ضعف نفس یا </w:t>
      </w:r>
      <w:r w:rsidRPr="00866D80">
        <w:rPr>
          <w:rFonts w:ascii="Times New Roman" w:eastAsia="Times New Roman" w:hAnsi="Times New Roman" w:cs="B Lotus"/>
          <w:sz w:val="28"/>
          <w:szCs w:val="28"/>
          <w:rtl/>
          <w:lang w:bidi="ar-SA"/>
        </w:rPr>
        <w:lastRenderedPageBreak/>
        <w:t>حوائج شخصی اشخاص غیر رشید است. این ماده فقط محدود به تحصیل نوشته یا سندی به ضرر اشخاص غیر رشید با سوءاستفاده از ضعف نفس یا حوائج شخصی افراد غیر رشید از جمله معلولان می‌شود و چنانچه مرتکب این جرم دارای سمت ولایت با وصایت یا قیومت بر مجنی علیه (غیر رشید) باشد مجازات وی تشدید می‌شود</w:t>
      </w:r>
      <w:r w:rsidRPr="00866D80">
        <w:rPr>
          <w:rFonts w:ascii="Times New Roman" w:eastAsia="Times New Roman" w:hAnsi="Times New Roman" w:cs="B Lotus"/>
          <w:sz w:val="28"/>
          <w:szCs w:val="28"/>
          <w:lang w:bidi="ar-SA"/>
        </w:rPr>
        <w:t>.</w:t>
      </w:r>
    </w:p>
    <w:p w14:paraId="00895327"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قسمت صدر این ماده نوعی جرم انگاری خاص و قسمت اخیر آن بیانگر تشدید ضمانت اجرای کیفری نسبت به جرم فوق‌الذکر علیه معلولان است. نکته قابل ذکر در اینجا در ارتباط با جرم کلاهبرداری از چنین افرادی، این است که قانون‌گذار ما در ماده 1 قانون تشدید مجازات مرتکبین ارتشاء، اختلاس و کلاهبرداری مصوب 1367 که درصدد تشریح و تبیین جرم کلاهبرداری ساده و مشدده است، متأسفانه هیچ‌گونه حمایت ویژه از معلولان در برابر تحصیل مال از آنان با توسل به مانور متقلبانه به عمل نیاورده است</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حال آنکه اصلاح قسمت اخیر ماده فوق‌الذکر راجع به کلاهبرداری مشدده لازم به نظر می‌رسد. یعنی، در کنار سه مورد ذکر شده از موارد کلاهبرداری مشدده، باید مجازات کلاهبرداری در صورتی که مجنی علیه معلول روانی و ذهنی باشد، نیز تشدید شود. زیرا احتمال آسیب‌پذیری و فریب خوردن این دسته از معلولان در برابر مانور متقلبانه به مراتب خیلی بیشتر از سایر افراد جامعه است</w:t>
      </w:r>
      <w:r w:rsidRPr="00866D80">
        <w:rPr>
          <w:rFonts w:ascii="Times New Roman" w:eastAsia="Times New Roman" w:hAnsi="Times New Roman" w:cs="B Lotus"/>
          <w:sz w:val="28"/>
          <w:szCs w:val="28"/>
          <w:lang w:bidi="ar-SA"/>
        </w:rPr>
        <w:t>.</w:t>
      </w:r>
    </w:p>
    <w:p w14:paraId="2F47B38B" w14:textId="6CA5DEA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 xml:space="preserve">نکته قابل ذکر در ارتباط با بهره‌‌کشی اقتصادی، سوءاستفاده از نیروی کار معلولین است. یکی از حمایت‌های اساسی از معلولان، ممنوعیت بهره‌کشی از آنان در حد انجام کارهای سخت، زیان‌آور و یا خطرناک یا هر نوع سوءاستفاده دیگر مانند کار اجباری است. به رغم اشاره‌های مستقیم و یا غیرمستقیم قانون‌گذار انگلستان و یا ایران (مانند مواد 31، 32، </w:t>
      </w:r>
      <w:r w:rsidRPr="00866D80">
        <w:rPr>
          <w:rFonts w:ascii="Times New Roman" w:eastAsia="Times New Roman" w:hAnsi="Times New Roman" w:cs="B Lotus"/>
          <w:sz w:val="28"/>
          <w:szCs w:val="28"/>
          <w:lang w:bidi="ar-SA"/>
        </w:rPr>
        <w:t xml:space="preserve">96 </w:t>
      </w:r>
      <w:r w:rsidRPr="00866D80">
        <w:rPr>
          <w:rFonts w:ascii="Times New Roman" w:eastAsia="Times New Roman" w:hAnsi="Times New Roman" w:cs="B Lotus"/>
          <w:sz w:val="28"/>
          <w:szCs w:val="28"/>
          <w:rtl/>
          <w:lang w:bidi="ar-SA"/>
        </w:rPr>
        <w:t xml:space="preserve">قانون کار 1369) مبنی بر جلوگیری از به کارگیری معلولان و حمایت از آنان، ولی هیچ‌گونه حمایت کیفری ویژه در قوانین این دو کشور مبنی بر ممنوعیت به کارگیری معلولان در انجام فعالیت‌هایی مانند کارهای سخت، زیان‌‌آور و غیره به عمل نیامده است و برای متخلفان هیچ‌گونه ضمانت اجرای کیفری در نظر گرفته نشده است. در حالی که پیش‌بینی چنین حمایتی از ناتوانان به دلیل وضعیت جسمانی و یا روانی و یا ذهنی خاصشان در حقوق کیفری ایران و انگلستان، همانند مسئله حمایت کیفری از کودکان، زنان و </w:t>
      </w:r>
      <w:r w:rsidRPr="00866D80">
        <w:rPr>
          <w:rFonts w:ascii="Arial" w:eastAsia="Times New Roman" w:hAnsi="Arial" w:cs="Arial" w:hint="cs"/>
          <w:sz w:val="28"/>
          <w:szCs w:val="28"/>
          <w:rtl/>
          <w:lang w:bidi="ar-SA"/>
        </w:rPr>
        <w:t>…</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ضروری</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به</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نظر</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می‌رسد</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البته</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در</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انگلستان</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حمایت</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کیفری</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ویژه</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از</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معلولان</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در</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ارتباط</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با</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حق</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اشتغال</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آنان</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به</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اشکال</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مختلف</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در</w:t>
      </w:r>
      <w:r w:rsidRPr="00866D80">
        <w:rPr>
          <w:rFonts w:ascii="Times New Roman" w:eastAsia="Times New Roman" w:hAnsi="Times New Roman" w:cs="B Lotus"/>
          <w:sz w:val="28"/>
          <w:szCs w:val="28"/>
          <w:rtl/>
          <w:lang w:bidi="ar-SA"/>
        </w:rPr>
        <w:t xml:space="preserve"> </w:t>
      </w:r>
      <w:r w:rsidRPr="00866D80">
        <w:rPr>
          <w:rFonts w:ascii="Times New Roman" w:eastAsia="Times New Roman" w:hAnsi="Times New Roman" w:cs="B Lotus" w:hint="cs"/>
          <w:sz w:val="28"/>
          <w:szCs w:val="28"/>
          <w:rtl/>
          <w:lang w:bidi="ar-SA"/>
        </w:rPr>
        <w:t>قانو</w:t>
      </w:r>
      <w:r w:rsidRPr="00866D80">
        <w:rPr>
          <w:rFonts w:ascii="Times New Roman" w:eastAsia="Times New Roman" w:hAnsi="Times New Roman" w:cs="B Lotus"/>
          <w:sz w:val="28"/>
          <w:szCs w:val="28"/>
          <w:rtl/>
          <w:lang w:bidi="ar-SA"/>
        </w:rPr>
        <w:t xml:space="preserve">ن مربوط به استخدام اشخاص ناتوان 1944 مورد پیش‌بینی قرار </w:t>
      </w:r>
      <w:r w:rsidRPr="00866D80">
        <w:rPr>
          <w:rFonts w:ascii="Times New Roman" w:eastAsia="Times New Roman" w:hAnsi="Times New Roman" w:cs="B Lotus"/>
          <w:sz w:val="28"/>
          <w:szCs w:val="28"/>
          <w:rtl/>
          <w:lang w:bidi="ar-SA"/>
        </w:rPr>
        <w:lastRenderedPageBreak/>
        <w:t>گرفته است که توضیحات مرتبط با این مسئله در قسمت مربوط به حمایت از معلولان در برابر خشونت و سوءاستفاده اجتماعی مورد اشاره قرار می‌گیرد</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5"/>
      </w:r>
    </w:p>
    <w:p w14:paraId="5F8A5C98"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مهم‌ترین قانون ویژه معلولان در ایران، قانون حمایت از حقوق معلولان مصوب مجلس شورای اسلامی در سال 1396 است. اما این قانون در مورد تبعیض علیه معلولان و نیز در مورد حقوق اساسی آنان ساکت است؛ برعکس کنوانسیون حقوق معلولان مصوب سازمان ملل متحد در 2006م که به حقوق مدنی و سیاسی و عدم تبعیض معلولان توجه دارد و در مواد مختلف این حقوق را مطرح و معرفی کرده است</w:t>
      </w:r>
      <w:r w:rsidRPr="00866D80">
        <w:rPr>
          <w:rFonts w:ascii="Times New Roman" w:eastAsia="Times New Roman" w:hAnsi="Times New Roman" w:cs="B Lotus"/>
          <w:sz w:val="28"/>
          <w:szCs w:val="28"/>
          <w:lang w:bidi="ar-SA"/>
        </w:rPr>
        <w:t>.</w:t>
      </w:r>
    </w:p>
    <w:p w14:paraId="5A0F27A8" w14:textId="570108CD"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بی‌توجهی دولت و نهادهای متصدی امور معلولین به نیازهای اساسی درمانی، بهداشتی، تغذیه‌ای، مسکن و سکونت، آموزش و پرورش، تأمین وسایل مورد نیاز مثل عصا، ویلچر، رابط، عینک، سمعک بر اساس کنوانسیون جرم دانسته شده است زیرا موجب ضررهای جبران‌ ناپذیر به معلولان می‌گردد. در واقع اقداماتی این چنینی موجب جرم‌زایی برای معلولان می‌شود؛ در حالی که قانون به صراحت خواهان جرم زدایی است</w:t>
      </w:r>
      <w:r w:rsidR="000D42B3" w:rsidRPr="00866D80">
        <w:rPr>
          <w:rStyle w:val="FootnoteReference"/>
          <w:rFonts w:ascii="Times New Roman" w:eastAsia="Times New Roman" w:hAnsi="Times New Roman" w:cs="B Lotus"/>
          <w:sz w:val="28"/>
          <w:szCs w:val="28"/>
          <w:rtl/>
          <w:lang w:bidi="ar-SA"/>
        </w:rPr>
        <w:footnoteReference w:id="26"/>
      </w:r>
    </w:p>
    <w:p w14:paraId="12713C37" w14:textId="69A5B8AD"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البته در پاره‌ای قوانین ایران، برخی جرم‌های علیه معلولان تأیید شده و برای مرتکب آنها مجازات قائل شده است. در قانون مجازات اسلامی در بخش تعزیرات است، توهین، ایجاد مزاحمت در اماکن عمومی نسبت به ناتوانان</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7"/>
      </w:r>
      <w:r w:rsidRPr="00866D80">
        <w:rPr>
          <w:rFonts w:ascii="Times New Roman" w:eastAsia="Times New Roman" w:hAnsi="Times New Roman" w:cs="B Lotus"/>
          <w:sz w:val="28"/>
          <w:szCs w:val="28"/>
          <w:rtl/>
          <w:lang w:bidi="ar-SA"/>
        </w:rPr>
        <w:t xml:space="preserve"> ربودن، مخفی کردن ناتوانان</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8"/>
      </w:r>
      <w:r w:rsidRPr="00866D80">
        <w:rPr>
          <w:rFonts w:ascii="Times New Roman" w:eastAsia="Times New Roman" w:hAnsi="Times New Roman" w:cs="B Lotus"/>
          <w:sz w:val="28"/>
          <w:szCs w:val="28"/>
          <w:rtl/>
          <w:lang w:bidi="ar-SA"/>
        </w:rPr>
        <w:t xml:space="preserve"> یا قاچاق ناتوانان</w:t>
      </w:r>
      <w:r w:rsidR="000D42B3" w:rsidRPr="00866D80">
        <w:rPr>
          <w:rFonts w:ascii="Times New Roman" w:eastAsia="Times New Roman" w:hAnsi="Times New Roman" w:cs="B Lotus" w:hint="cs"/>
          <w:sz w:val="28"/>
          <w:szCs w:val="28"/>
          <w:rtl/>
          <w:lang w:bidi="ar-SA"/>
        </w:rPr>
        <w:t>،</w:t>
      </w:r>
      <w:r w:rsidR="000D42B3" w:rsidRPr="00866D80">
        <w:rPr>
          <w:rStyle w:val="FootnoteReference"/>
          <w:rFonts w:ascii="Times New Roman" w:eastAsia="Times New Roman" w:hAnsi="Times New Roman" w:cs="B Lotus"/>
          <w:sz w:val="28"/>
          <w:szCs w:val="28"/>
          <w:rtl/>
          <w:lang w:bidi="ar-SA"/>
        </w:rPr>
        <w:footnoteReference w:id="29"/>
      </w:r>
      <w:r w:rsidRPr="00866D80">
        <w:rPr>
          <w:rFonts w:ascii="Times New Roman" w:eastAsia="Times New Roman" w:hAnsi="Times New Roman" w:cs="B Lotus"/>
          <w:sz w:val="28"/>
          <w:szCs w:val="28"/>
          <w:rtl/>
          <w:lang w:bidi="ar-SA"/>
        </w:rPr>
        <w:t xml:space="preserve"> یا فراری دادن، ربودن ناتوانان و نگهداری آنان در محل خاص</w:t>
      </w:r>
      <w:r w:rsidR="00AB1BE5" w:rsidRPr="00866D80">
        <w:rPr>
          <w:rStyle w:val="FootnoteReference"/>
          <w:rFonts w:ascii="Times New Roman" w:eastAsia="Times New Roman" w:hAnsi="Times New Roman" w:cs="B Lotus"/>
          <w:sz w:val="28"/>
          <w:szCs w:val="28"/>
          <w:rtl/>
          <w:lang w:bidi="ar-SA"/>
        </w:rPr>
        <w:footnoteReference w:id="30"/>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جرم دانسته شده است</w:t>
      </w:r>
      <w:r w:rsidRPr="00866D80">
        <w:rPr>
          <w:rFonts w:ascii="Times New Roman" w:eastAsia="Times New Roman" w:hAnsi="Times New Roman" w:cs="B Lotus"/>
          <w:sz w:val="28"/>
          <w:szCs w:val="28"/>
          <w:lang w:bidi="ar-SA"/>
        </w:rPr>
        <w:t>.</w:t>
      </w:r>
    </w:p>
    <w:p w14:paraId="1D1FB7D7" w14:textId="0F2CC3AE"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همچنین در قانون مجازات اسلامی بخش تعزیرات مصوب 1375، هرزه‌نگاری ناتوانان و سوءاستفاده از آنان برای ترویج فساد و فحشا</w:t>
      </w:r>
      <w:r w:rsidR="000D42B3" w:rsidRPr="00866D80">
        <w:rPr>
          <w:rFonts w:ascii="Times New Roman" w:eastAsia="Times New Roman" w:hAnsi="Times New Roman" w:cs="B Lotus" w:hint="cs"/>
          <w:sz w:val="28"/>
          <w:szCs w:val="28"/>
          <w:rtl/>
          <w:lang w:bidi="ar-SA"/>
        </w:rPr>
        <w:t xml:space="preserve"> </w:t>
      </w:r>
      <w:r w:rsidR="000D42B3" w:rsidRPr="00866D80">
        <w:rPr>
          <w:rStyle w:val="FootnoteReference"/>
          <w:rFonts w:ascii="Times New Roman" w:eastAsia="Times New Roman" w:hAnsi="Times New Roman" w:cs="B Lotus"/>
          <w:sz w:val="28"/>
          <w:szCs w:val="28"/>
          <w:rtl/>
          <w:lang w:bidi="ar-SA"/>
        </w:rPr>
        <w:footnoteReference w:id="31"/>
      </w:r>
      <w:r w:rsidRPr="00866D80">
        <w:rPr>
          <w:rFonts w:ascii="Times New Roman" w:eastAsia="Times New Roman" w:hAnsi="Times New Roman" w:cs="B Lotus"/>
          <w:sz w:val="28"/>
          <w:szCs w:val="28"/>
          <w:rtl/>
          <w:lang w:bidi="ar-SA"/>
        </w:rPr>
        <w:t xml:space="preserve"> بهره‌برداری از ناتوانان برای تکدی‌گری</w:t>
      </w:r>
      <w:r w:rsidR="00AB1BE5" w:rsidRPr="00866D80">
        <w:rPr>
          <w:rFonts w:ascii="Times New Roman" w:eastAsia="Times New Roman" w:hAnsi="Times New Roman" w:cs="B Lotus" w:hint="cs"/>
          <w:sz w:val="28"/>
          <w:szCs w:val="28"/>
          <w:rtl/>
          <w:lang w:bidi="ar-SA"/>
        </w:rPr>
        <w:t xml:space="preserve"> </w:t>
      </w:r>
      <w:r w:rsidR="00AB1BE5" w:rsidRPr="00866D80">
        <w:rPr>
          <w:rStyle w:val="FootnoteReference"/>
          <w:rFonts w:ascii="Times New Roman" w:eastAsia="Times New Roman" w:hAnsi="Times New Roman" w:cs="B Lotus"/>
          <w:sz w:val="28"/>
          <w:szCs w:val="28"/>
          <w:rtl/>
          <w:lang w:bidi="ar-SA"/>
        </w:rPr>
        <w:footnoteReference w:id="32"/>
      </w:r>
      <w:r w:rsidRPr="00866D80">
        <w:rPr>
          <w:rFonts w:ascii="Times New Roman" w:eastAsia="Times New Roman" w:hAnsi="Times New Roman" w:cs="B Lotus"/>
          <w:sz w:val="28"/>
          <w:szCs w:val="28"/>
          <w:rtl/>
          <w:lang w:bidi="ar-SA"/>
        </w:rPr>
        <w:t>جرم دانسته شده و کیفر و مجازات خاص در نظر گرفته شده است. نیز به چند قانون دیگر اشاره می‌کنم</w:t>
      </w:r>
      <w:r w:rsidRPr="00866D80">
        <w:rPr>
          <w:rFonts w:ascii="Times New Roman" w:eastAsia="Times New Roman" w:hAnsi="Times New Roman" w:cs="B Lotus"/>
          <w:sz w:val="28"/>
          <w:szCs w:val="28"/>
          <w:lang w:bidi="ar-SA"/>
        </w:rPr>
        <w:t>:</w:t>
      </w:r>
    </w:p>
    <w:p w14:paraId="64DC6CE0"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lastRenderedPageBreak/>
        <w:t xml:space="preserve">ـ قانون سلامت روانی، مصوب 1359، ماده </w:t>
      </w:r>
      <w:r w:rsidRPr="00866D80">
        <w:rPr>
          <w:rFonts w:ascii="Times New Roman" w:eastAsia="Times New Roman" w:hAnsi="Times New Roman" w:cs="B Lotus"/>
          <w:sz w:val="28"/>
          <w:szCs w:val="28"/>
          <w:lang w:bidi="ar-SA"/>
        </w:rPr>
        <w:t xml:space="preserve">128: </w:t>
      </w:r>
      <w:r w:rsidRPr="00866D80">
        <w:rPr>
          <w:rFonts w:ascii="Times New Roman" w:eastAsia="Times New Roman" w:hAnsi="Times New Roman" w:cs="B Lotus"/>
          <w:sz w:val="28"/>
          <w:szCs w:val="28"/>
          <w:rtl/>
          <w:lang w:bidi="ar-SA"/>
        </w:rPr>
        <w:t>مردی که در مراکز سلامت کار می‌کند اگر با خانم دارای اختلال روانی که برای درمان مراجعه کرده، هرگونه استفاده جنسی بکند مجرم محسوب می‌شود</w:t>
      </w:r>
      <w:r w:rsidRPr="00866D80">
        <w:rPr>
          <w:rFonts w:ascii="Times New Roman" w:eastAsia="Times New Roman" w:hAnsi="Times New Roman" w:cs="B Lotus"/>
          <w:sz w:val="28"/>
          <w:szCs w:val="28"/>
          <w:lang w:bidi="ar-SA"/>
        </w:rPr>
        <w:t>.</w:t>
      </w:r>
    </w:p>
    <w:p w14:paraId="7749A8EF" w14:textId="59453C1F"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ـ قانون جرایم جنسی مصوب 1359، ماده 9: چنانچه شخصی یک زن معلول را فراهم کند تا با مردی تماس جنسی غیر قانونی داشته باشد، مجرم است</w:t>
      </w:r>
      <w:r w:rsidR="00AB1BE5" w:rsidRPr="00866D80">
        <w:rPr>
          <w:rStyle w:val="FootnoteReference"/>
          <w:rFonts w:ascii="Times New Roman" w:eastAsia="Times New Roman" w:hAnsi="Times New Roman" w:cs="B Lotus"/>
          <w:sz w:val="28"/>
          <w:szCs w:val="28"/>
          <w:rtl/>
          <w:lang w:bidi="ar-SA"/>
        </w:rPr>
        <w:footnoteReference w:id="33"/>
      </w:r>
    </w:p>
    <w:p w14:paraId="5FE2D7AD" w14:textId="77777777"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اما این موارد حقوق اساسی نیست. بله در حقوق مختلف معلولان به ویژه حقوق جنسی، قوانین بسیار در نظام حقوقی ایران هست اما در زمینه حقوق اساسی معلولان کمبود هست و در صورت تعارض باید چاره‌اندیشی گردد</w:t>
      </w:r>
      <w:r w:rsidRPr="00866D80">
        <w:rPr>
          <w:rFonts w:ascii="Times New Roman" w:eastAsia="Times New Roman" w:hAnsi="Times New Roman" w:cs="B Lotus"/>
          <w:sz w:val="28"/>
          <w:szCs w:val="28"/>
          <w:lang w:bidi="ar-SA"/>
        </w:rPr>
        <w:t>.</w:t>
      </w:r>
    </w:p>
    <w:p w14:paraId="1C78F59F" w14:textId="3988AB05" w:rsidR="001B64DC" w:rsidRPr="00866D80" w:rsidRDefault="001B64DC" w:rsidP="008206A3">
      <w:pPr>
        <w:spacing w:before="100" w:beforeAutospacing="1" w:after="100" w:afterAutospacing="1" w:line="276" w:lineRule="auto"/>
        <w:jc w:val="both"/>
        <w:rPr>
          <w:rFonts w:ascii="Times New Roman" w:eastAsia="Times New Roman" w:hAnsi="Times New Roman" w:cs="B Lotus"/>
          <w:sz w:val="28"/>
          <w:szCs w:val="28"/>
          <w:rtl/>
          <w:lang w:bidi="ar-SA"/>
        </w:rPr>
      </w:pPr>
      <w:r w:rsidRPr="00866D80">
        <w:rPr>
          <w:rFonts w:ascii="Times New Roman" w:eastAsia="Times New Roman" w:hAnsi="Times New Roman" w:cs="B Lotus"/>
          <w:sz w:val="28"/>
          <w:szCs w:val="28"/>
          <w:rtl/>
          <w:lang w:bidi="ar-SA"/>
        </w:rPr>
        <w:t>عدم اجرای قانون جامع حمایت از معلولان که در سال 1383 به تصویب مجلس شورای اسلامی رسید. سند مهم و گواه روشنی است که نشان می‌دهد، دولت توانسته بیش از یک دهه حقوق مسلم و حتمی معلولان را مراعات نکند و چشم خود را به روی ده‌ها بدبختی و ظلمی که به همین دلیل بر آنها می‌رود، ببندد</w:t>
      </w:r>
      <w:r w:rsidR="00AB1BE5" w:rsidRPr="00866D80">
        <w:rPr>
          <w:rFonts w:ascii="Times New Roman" w:eastAsia="Times New Roman" w:hAnsi="Times New Roman" w:cs="B Lotus" w:hint="cs"/>
          <w:sz w:val="28"/>
          <w:szCs w:val="28"/>
          <w:rtl/>
          <w:lang w:bidi="ar-SA"/>
        </w:rPr>
        <w:t>.</w:t>
      </w:r>
    </w:p>
    <w:p w14:paraId="4C1AA38F" w14:textId="77777777" w:rsidR="000D46FD" w:rsidRDefault="00AB1BE5" w:rsidP="000D46FD">
      <w:pPr>
        <w:spacing w:before="100" w:beforeAutospacing="1" w:after="100" w:afterAutospacing="1" w:line="276" w:lineRule="auto"/>
        <w:jc w:val="both"/>
        <w:rPr>
          <w:rFonts w:ascii="Times New Roman" w:eastAsia="Times New Roman" w:hAnsi="Times New Roman" w:cs="B Lotus"/>
          <w:sz w:val="28"/>
          <w:szCs w:val="28"/>
          <w:rtl/>
          <w:lang w:bidi="ar-SA"/>
        </w:rPr>
      </w:pPr>
      <w:r w:rsidRPr="00866D80">
        <w:rPr>
          <w:rFonts w:ascii="Times New Roman" w:eastAsia="Times New Roman" w:hAnsi="Times New Roman" w:cs="B Lotus" w:hint="cs"/>
          <w:sz w:val="28"/>
          <w:szCs w:val="28"/>
          <w:rtl/>
          <w:lang w:bidi="ar-SA"/>
        </w:rPr>
        <w:t>5ـ حمایت از زنان بزه دیده</w:t>
      </w:r>
    </w:p>
    <w:p w14:paraId="1B583CA6" w14:textId="77777777" w:rsidR="000D46FD" w:rsidRDefault="00F26BE6" w:rsidP="000D46FD">
      <w:pPr>
        <w:spacing w:before="100" w:beforeAutospacing="1" w:after="100" w:afterAutospacing="1" w:line="276" w:lineRule="auto"/>
        <w:jc w:val="both"/>
        <w:rPr>
          <w:rStyle w:val="arabs"/>
          <w:rFonts w:cs="B Lotus"/>
          <w:sz w:val="28"/>
          <w:szCs w:val="28"/>
          <w:rtl/>
        </w:rPr>
      </w:pPr>
      <w:r w:rsidRPr="00866D80">
        <w:rPr>
          <w:rStyle w:val="arabs"/>
          <w:rFonts w:cs="B Lotus"/>
          <w:sz w:val="28"/>
          <w:szCs w:val="28"/>
          <w:rtl/>
        </w:rPr>
        <w:t>بعضی طبقات همچون</w:t>
      </w:r>
      <w:hyperlink r:id="rId10"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زنان</w:t>
        </w:r>
      </w:hyperlink>
      <w:r w:rsidRPr="00866D80">
        <w:rPr>
          <w:rStyle w:val="arabs"/>
          <w:rFonts w:cs="B Lotus"/>
          <w:sz w:val="28"/>
          <w:szCs w:val="28"/>
        </w:rPr>
        <w:t xml:space="preserve"> </w:t>
      </w:r>
      <w:r w:rsidRPr="00866D80">
        <w:rPr>
          <w:rStyle w:val="arabs"/>
          <w:rFonts w:cs="B Lotus"/>
          <w:sz w:val="28"/>
          <w:szCs w:val="28"/>
          <w:rtl/>
        </w:rPr>
        <w:t>به دلیل عوامل خاص زیست شناختی و اجتماعی, پیش زمینه و استعداد قبلی برای بزه دیده واقع شدن دارند</w:t>
      </w:r>
      <w:r w:rsidRPr="00866D80">
        <w:rPr>
          <w:rStyle w:val="arabs"/>
          <w:rFonts w:cs="B Lotus" w:hint="cs"/>
          <w:sz w:val="28"/>
          <w:szCs w:val="28"/>
          <w:rtl/>
        </w:rPr>
        <w:t>.</w:t>
      </w:r>
      <w:r w:rsidRPr="00866D80">
        <w:rPr>
          <w:rStyle w:val="arabs"/>
          <w:rFonts w:cs="B Lotus"/>
          <w:sz w:val="28"/>
          <w:szCs w:val="28"/>
          <w:rtl/>
        </w:rPr>
        <w:t xml:space="preserve"> </w:t>
      </w:r>
      <w:r w:rsidRPr="00866D80">
        <w:rPr>
          <w:rFonts w:ascii="IRANSans" w:hAnsi="IRANSans" w:cs="B Lotus" w:hint="cs"/>
          <w:sz w:val="28"/>
          <w:szCs w:val="28"/>
          <w:rtl/>
        </w:rPr>
        <w:t>آسیب‌پذیری زنان و دختران بر پایه جنسیت در بزه‌دیدگی آنان تاثیر گذار بوده، لذا زنان و دختران به عنوان افراد بالقوه آسیب پذیرتر از مردان، آماج های مطلوبی برای بزهکاران محسوب می شوند</w:t>
      </w:r>
      <w:r w:rsidRPr="00866D80">
        <w:rPr>
          <w:rFonts w:ascii="IRANSans" w:hAnsi="IRANSans" w:cs="B Lotus"/>
          <w:sz w:val="28"/>
          <w:szCs w:val="28"/>
          <w:rtl/>
        </w:rPr>
        <w:t>.</w:t>
      </w:r>
      <w:r w:rsidRPr="00866D80">
        <w:rPr>
          <w:rStyle w:val="arabs"/>
          <w:rFonts w:cs="B Lotus"/>
          <w:sz w:val="28"/>
          <w:szCs w:val="28"/>
          <w:rtl/>
        </w:rPr>
        <w:t xml:space="preserve"> </w:t>
      </w:r>
    </w:p>
    <w:p w14:paraId="4C9119BA" w14:textId="77777777" w:rsidR="000D46FD" w:rsidRDefault="00F26BE6" w:rsidP="000D46FD">
      <w:pPr>
        <w:spacing w:before="100" w:beforeAutospacing="1" w:after="100" w:afterAutospacing="1" w:line="276" w:lineRule="auto"/>
        <w:jc w:val="both"/>
        <w:rPr>
          <w:rFonts w:cs="B Lotus"/>
          <w:sz w:val="28"/>
          <w:szCs w:val="28"/>
          <w:rtl/>
        </w:rPr>
      </w:pPr>
      <w:r w:rsidRPr="00866D80">
        <w:rPr>
          <w:rFonts w:cs="B Lotus"/>
          <w:sz w:val="28"/>
          <w:szCs w:val="28"/>
          <w:rtl/>
        </w:rPr>
        <w:t xml:space="preserve">جرایم علیه عفت و اخلاق عمومی یکی از موضوعاتی است که در جوامع بشری مصادیق بسیاری پیدا کرده است. اساسا در تمامی اجتماعات بشری، ارضای تمایلات جنسی در صورتی پذیرفته و مجاز شناخته می شود که در چارچوب قانونی و عرفی جامعه باشد، در غیر این صورت از نوع انحرافات جنسی محسوب می شود. امروزه زنان عصر حاضر، بیش از گذشته از قالب زندگی درون خانوادگی خارج شده اند و آزادی بیش تری برای ورود به جامعه پیدا کرده اند و این امر می تواند همواره باعث شود که در معرض آسیب های اجتماعی </w:t>
      </w:r>
      <w:r w:rsidRPr="00866D80">
        <w:rPr>
          <w:rFonts w:cs="B Lotus"/>
          <w:sz w:val="28"/>
          <w:szCs w:val="28"/>
          <w:rtl/>
        </w:rPr>
        <w:lastRenderedPageBreak/>
        <w:t xml:space="preserve">بسیاری قرار گیرند. بزه دیدگی یکی از این آسیب های اجتماعی است که همواره تهدید کننده این قشر از اجتماع بوده و علاوه بر آن حتی جامعه را هم تحت تاثیر قرار داده است. </w:t>
      </w:r>
    </w:p>
    <w:p w14:paraId="3C0CEE46" w14:textId="77777777" w:rsidR="000D46FD" w:rsidRDefault="00F26BE6" w:rsidP="000D46FD">
      <w:pPr>
        <w:spacing w:before="100" w:beforeAutospacing="1" w:after="100" w:afterAutospacing="1" w:line="276" w:lineRule="auto"/>
        <w:jc w:val="both"/>
        <w:rPr>
          <w:rStyle w:val="arabs"/>
          <w:rFonts w:cs="B Lotus"/>
          <w:sz w:val="28"/>
          <w:szCs w:val="28"/>
          <w:rtl/>
        </w:rPr>
      </w:pPr>
      <w:r w:rsidRPr="00866D80">
        <w:rPr>
          <w:rStyle w:val="arabs"/>
          <w:rFonts w:cs="B Lotus"/>
          <w:sz w:val="28"/>
          <w:szCs w:val="28"/>
          <w:rtl/>
        </w:rPr>
        <w:t xml:space="preserve"> براساس یافته های جرم شناختی, بزه کاران بالقوه قربانیان خود را غالبا از میان افرادی انتخاب می کنند که ارتکاب جرم بر روی آن ها دارای خطر و هزینه بالایی نباشد. بنابراین</w:t>
      </w:r>
      <w:hyperlink r:id="rId11"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زنان</w:t>
        </w:r>
      </w:hyperlink>
      <w:r w:rsidRPr="00866D80">
        <w:rPr>
          <w:rStyle w:val="arabs"/>
          <w:rFonts w:cs="B Lotus"/>
          <w:sz w:val="28"/>
          <w:szCs w:val="28"/>
        </w:rPr>
        <w:t xml:space="preserve"> </w:t>
      </w:r>
      <w:r w:rsidRPr="00866D80">
        <w:rPr>
          <w:rStyle w:val="arabs"/>
          <w:rFonts w:cs="B Lotus"/>
          <w:sz w:val="28"/>
          <w:szCs w:val="28"/>
          <w:rtl/>
        </w:rPr>
        <w:t>به عنوان افراد بالقوه آسیب پذیرتر از مردان, آماج های مطلوبی برای آن ها محسوب می شوند. بالا بردن خطر ارتکاب جرم بر روی</w:t>
      </w:r>
      <w:hyperlink r:id="rId12"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زنان</w:t>
        </w:r>
      </w:hyperlink>
      <w:r w:rsidRPr="00866D80">
        <w:rPr>
          <w:rStyle w:val="arabs"/>
          <w:rFonts w:cs="B Lotus"/>
          <w:sz w:val="28"/>
          <w:szCs w:val="28"/>
        </w:rPr>
        <w:t xml:space="preserve"> </w:t>
      </w:r>
      <w:r w:rsidRPr="00866D80">
        <w:rPr>
          <w:rStyle w:val="arabs"/>
          <w:rFonts w:cs="B Lotus"/>
          <w:sz w:val="28"/>
          <w:szCs w:val="28"/>
          <w:rtl/>
        </w:rPr>
        <w:t xml:space="preserve">از طریق بالا بردن هزینه کیفری ارتکاب جرم می تواند در فرآیند گزینش آن ها توسط بزه کاران تاثیر گذاشته و در نتیجه ضریب </w:t>
      </w:r>
      <w:hyperlink r:id="rId13" w:tgtFrame="_blank" w:history="1">
        <w:r w:rsidRPr="00866D80">
          <w:rPr>
            <w:rStyle w:val="Hyperlink"/>
            <w:rFonts w:cs="B Lotus"/>
            <w:color w:val="auto"/>
            <w:sz w:val="28"/>
            <w:szCs w:val="28"/>
            <w:u w:val="none"/>
            <w:rtl/>
          </w:rPr>
          <w:t>بزه دیدگی</w:t>
        </w:r>
      </w:hyperlink>
      <w:hyperlink r:id="rId14"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زنان</w:t>
        </w:r>
      </w:hyperlink>
      <w:r w:rsidRPr="00866D80">
        <w:rPr>
          <w:rStyle w:val="arabs"/>
          <w:rFonts w:cs="B Lotus"/>
          <w:sz w:val="28"/>
          <w:szCs w:val="28"/>
        </w:rPr>
        <w:t xml:space="preserve"> </w:t>
      </w:r>
      <w:r w:rsidRPr="00866D80">
        <w:rPr>
          <w:rStyle w:val="arabs"/>
          <w:rFonts w:cs="B Lotus"/>
          <w:sz w:val="28"/>
          <w:szCs w:val="28"/>
          <w:rtl/>
        </w:rPr>
        <w:t>را کاهش دهد. بنابراین اتخاذ یک</w:t>
      </w:r>
      <w:hyperlink r:id="rId15"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سیاست کیفری افتراقی</w:t>
        </w:r>
      </w:hyperlink>
      <w:r w:rsidRPr="00866D80">
        <w:rPr>
          <w:rStyle w:val="arabs"/>
          <w:rFonts w:cs="B Lotus"/>
          <w:sz w:val="28"/>
          <w:szCs w:val="28"/>
        </w:rPr>
        <w:t xml:space="preserve"> </w:t>
      </w:r>
      <w:r w:rsidRPr="00866D80">
        <w:rPr>
          <w:rStyle w:val="arabs"/>
          <w:rFonts w:cs="B Lotus"/>
          <w:sz w:val="28"/>
          <w:szCs w:val="28"/>
          <w:rtl/>
        </w:rPr>
        <w:t>از طریق سازوکار جرم انگاری های ویژه و تشدید کیفر بزه کارانی که بزه دیده آن ها یک زن است ضروری است. قانون گذار کیفری ایران نه تنها در قبال تعرضات مجرمانه علیه</w:t>
      </w:r>
      <w:hyperlink r:id="rId16"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زنان</w:t>
        </w:r>
      </w:hyperlink>
      <w:r w:rsidRPr="00866D80">
        <w:rPr>
          <w:rStyle w:val="arabs"/>
          <w:rFonts w:cs="B Lotus"/>
          <w:sz w:val="28"/>
          <w:szCs w:val="28"/>
        </w:rPr>
        <w:t xml:space="preserve"> </w:t>
      </w:r>
      <w:r w:rsidRPr="00866D80">
        <w:rPr>
          <w:rStyle w:val="arabs"/>
          <w:rFonts w:cs="B Lotus"/>
          <w:sz w:val="28"/>
          <w:szCs w:val="28"/>
          <w:rtl/>
        </w:rPr>
        <w:t>از یک</w:t>
      </w:r>
      <w:hyperlink r:id="rId17" w:tgtFrame="_blank" w:history="1">
        <w:r w:rsidRPr="00866D80">
          <w:rPr>
            <w:rStyle w:val="Hyperlink"/>
            <w:rFonts w:cs="B Lotus"/>
            <w:color w:val="auto"/>
            <w:sz w:val="28"/>
            <w:szCs w:val="28"/>
            <w:u w:val="none"/>
          </w:rPr>
          <w:t xml:space="preserve"> </w:t>
        </w:r>
        <w:r w:rsidRPr="00866D80">
          <w:rPr>
            <w:rStyle w:val="Hyperlink"/>
            <w:rFonts w:cs="B Lotus"/>
            <w:color w:val="auto"/>
            <w:sz w:val="28"/>
            <w:szCs w:val="28"/>
            <w:u w:val="none"/>
            <w:rtl/>
          </w:rPr>
          <w:t>سیاست کیفری افتراقی</w:t>
        </w:r>
      </w:hyperlink>
      <w:r w:rsidRPr="00866D80">
        <w:rPr>
          <w:rStyle w:val="arabs"/>
          <w:rFonts w:cs="B Lotus"/>
          <w:sz w:val="28"/>
          <w:szCs w:val="28"/>
        </w:rPr>
        <w:t xml:space="preserve"> </w:t>
      </w:r>
      <w:r w:rsidRPr="00866D80">
        <w:rPr>
          <w:rStyle w:val="arabs"/>
          <w:rFonts w:cs="B Lotus"/>
          <w:sz w:val="28"/>
          <w:szCs w:val="28"/>
          <w:rtl/>
        </w:rPr>
        <w:t>منسجم و هماهنگ پیروی نکرده است, بلکه به واسطه حمایت کیفری کم تر از آن ها در قبال برخی جرایم علیه تمامیت جسمانی آن ها نظیر قتل, قطع عضو و جرح</w:t>
      </w:r>
      <w:r w:rsidRPr="00866D80">
        <w:rPr>
          <w:rStyle w:val="arabs"/>
          <w:rFonts w:cs="B Lotus"/>
          <w:sz w:val="28"/>
          <w:szCs w:val="28"/>
        </w:rPr>
        <w:t xml:space="preserve">, </w:t>
      </w:r>
      <w:r w:rsidRPr="00866D80">
        <w:rPr>
          <w:rStyle w:val="arabs"/>
          <w:rFonts w:cs="B Lotus"/>
          <w:sz w:val="28"/>
          <w:szCs w:val="28"/>
          <w:rtl/>
        </w:rPr>
        <w:t>زمینه های</w:t>
      </w:r>
      <w:r w:rsidRPr="00866D80">
        <w:rPr>
          <w:rStyle w:val="arabs"/>
          <w:rFonts w:cs="B Lotus"/>
          <w:sz w:val="28"/>
          <w:szCs w:val="28"/>
        </w:rPr>
        <w:t xml:space="preserve"> </w:t>
      </w:r>
      <w:hyperlink r:id="rId18" w:tgtFrame="_blank" w:history="1">
        <w:r w:rsidRPr="00866D80">
          <w:rPr>
            <w:rStyle w:val="Hyperlink"/>
            <w:rFonts w:cs="B Lotus"/>
            <w:color w:val="auto"/>
            <w:sz w:val="28"/>
            <w:szCs w:val="28"/>
            <w:u w:val="none"/>
            <w:rtl/>
          </w:rPr>
          <w:t>بزه دیدگی</w:t>
        </w:r>
      </w:hyperlink>
      <w:r w:rsidRPr="00866D80">
        <w:rPr>
          <w:rStyle w:val="arabs"/>
          <w:rFonts w:cs="B Lotus"/>
          <w:sz w:val="28"/>
          <w:szCs w:val="28"/>
          <w:rtl/>
        </w:rPr>
        <w:t>آن ها را از طریق کاهش هزینه کیفری ارتکاب جرم بر روی آن ها فراهم نموده است</w:t>
      </w:r>
      <w:r w:rsidRPr="00866D80">
        <w:rPr>
          <w:rStyle w:val="arabs"/>
          <w:rFonts w:cs="B Lotus"/>
          <w:sz w:val="28"/>
          <w:szCs w:val="28"/>
        </w:rPr>
        <w:t>.</w:t>
      </w:r>
    </w:p>
    <w:p w14:paraId="6246982D" w14:textId="77777777" w:rsidR="000D46FD" w:rsidRDefault="000D46FD" w:rsidP="000D46FD">
      <w:pPr>
        <w:spacing w:before="100" w:beforeAutospacing="1" w:after="100" w:afterAutospacing="1" w:line="276" w:lineRule="auto"/>
        <w:jc w:val="both"/>
        <w:rPr>
          <w:rStyle w:val="arabs"/>
          <w:rFonts w:cs="B Lotus"/>
          <w:sz w:val="28"/>
          <w:szCs w:val="28"/>
          <w:rtl/>
        </w:rPr>
      </w:pPr>
      <w:r>
        <w:rPr>
          <w:rStyle w:val="arabs"/>
          <w:rFonts w:cs="B Lotus" w:hint="cs"/>
          <w:sz w:val="28"/>
          <w:szCs w:val="28"/>
          <w:rtl/>
        </w:rPr>
        <w:t>6</w:t>
      </w:r>
      <w:r w:rsidR="00B80B4D" w:rsidRPr="00866D80">
        <w:rPr>
          <w:rStyle w:val="arabs"/>
          <w:rFonts w:cs="B Lotus" w:hint="cs"/>
          <w:sz w:val="28"/>
          <w:szCs w:val="28"/>
          <w:rtl/>
        </w:rPr>
        <w:t>ـ حمایت از سالمندان بزه دیده</w:t>
      </w:r>
    </w:p>
    <w:p w14:paraId="5BB965C9" w14:textId="794835D8" w:rsidR="00B80B4D" w:rsidRPr="000D46FD" w:rsidRDefault="00B80B4D" w:rsidP="000D46FD">
      <w:pPr>
        <w:spacing w:before="100" w:beforeAutospacing="1" w:after="100" w:afterAutospacing="1" w:line="276" w:lineRule="auto"/>
        <w:jc w:val="both"/>
        <w:rPr>
          <w:rFonts w:ascii="Times New Roman" w:eastAsia="Times New Roman" w:hAnsi="Times New Roman" w:cs="B Lotus"/>
          <w:sz w:val="28"/>
          <w:szCs w:val="28"/>
          <w:rtl/>
          <w:lang w:bidi="ar-SA"/>
        </w:rPr>
      </w:pPr>
      <w:r w:rsidRPr="00866D80">
        <w:rPr>
          <w:rFonts w:cs="B Lotus"/>
          <w:sz w:val="28"/>
          <w:szCs w:val="28"/>
          <w:rtl/>
        </w:rPr>
        <w:t xml:space="preserve">سالمندی مرحله پایانی زندگی انسان و مقطعی حساس و پرمخاطره است که فرد در این دوران بیش از هرچیز به آرامش، رفاه و امنیت نیاز دارد. در مقابل، رویارویی با محرومیت های اجتماعی، اقتصادی و خشونت های خانوادگی می تواند شرایطی دشوار و آزاردهنده را برای سالمند ایجاد کند و او را در برابر چالش های زندگی و موقعیت های مخاطره آمیز آسیب پذیر و شکننده سازد. به علاوه، از آنجا که اصولاً بزهکاران قربانیان خود را از میان گروه های آسیب پذیر جامعه انتخاب می کنند، سالمندانی که از حمایت های اجتماعی، اقتصادی و خانوادگی برخوردار نیستند، در معرض خطر بیشتری از حیث بزه دیده شدن خواهند بود. بزه دیده شدن فرد سالخورده آثار و عواقب جسمانی، روحی و روانی بسیاری بر وی تحمیل خواهد کرد و از آنجا که فرد سال های پایانی عمر خود را سپری می کند، جبران و ترمیم این آسیب ها دشوار و گاه غیر ممکن خواهد بود. به </w:t>
      </w:r>
      <w:r w:rsidRPr="00866D80">
        <w:rPr>
          <w:rFonts w:cs="B Lotus"/>
          <w:sz w:val="28"/>
          <w:szCs w:val="28"/>
          <w:rtl/>
        </w:rPr>
        <w:lastRenderedPageBreak/>
        <w:t>این سبب اتخاذ سیاست های پیشگیرانه در مقابل پدیده سالمندآزاری و به طور کلی بزه دیدگی سالمندان اهمیت شایانی می یابد</w:t>
      </w:r>
      <w:r w:rsidRPr="00866D80">
        <w:rPr>
          <w:rFonts w:cs="B Lotus"/>
          <w:sz w:val="28"/>
          <w:szCs w:val="28"/>
        </w:rPr>
        <w:t>.</w:t>
      </w:r>
      <w:r w:rsidRPr="00866D80">
        <w:rPr>
          <w:rStyle w:val="FootnoteReference"/>
          <w:rFonts w:cs="B Lotus"/>
          <w:sz w:val="28"/>
          <w:szCs w:val="28"/>
        </w:rPr>
        <w:footnoteReference w:id="34"/>
      </w:r>
    </w:p>
    <w:p w14:paraId="3C02E1B1" w14:textId="77777777" w:rsidR="00B80B4D" w:rsidRPr="00B80B4D" w:rsidRDefault="00B80B4D" w:rsidP="00B80B4D">
      <w:pPr>
        <w:spacing w:after="0"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در نظام حقوقی ایران، برخی قوانین و دستورالعمل‌ها به حمایت از حقوق سالمندان پرداخته‌اند. به عنوان مثال</w:t>
      </w:r>
      <w:r w:rsidRPr="00B80B4D">
        <w:rPr>
          <w:rFonts w:ascii="Times New Roman" w:eastAsia="Times New Roman" w:hAnsi="Times New Roman" w:cs="B Lotus"/>
          <w:sz w:val="28"/>
          <w:szCs w:val="28"/>
          <w:lang w:bidi="ar-SA"/>
        </w:rPr>
        <w:t xml:space="preserve">: </w:t>
      </w:r>
    </w:p>
    <w:p w14:paraId="55990E01" w14:textId="77777777" w:rsidR="00B80B4D" w:rsidRPr="00B80B4D" w:rsidRDefault="00B80B4D" w:rsidP="00B80B4D">
      <w:pPr>
        <w:spacing w:before="100" w:beforeAutospacing="1" w:after="100" w:afterAutospacing="1"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قانون حمایت از حقوق معلولان (مصوب 1396) که در فصل هشتم به حمایت از سالمندان نیز اشاره دارد</w:t>
      </w:r>
      <w:r w:rsidRPr="00B80B4D">
        <w:rPr>
          <w:rFonts w:ascii="Times New Roman" w:eastAsia="Times New Roman" w:hAnsi="Times New Roman" w:cs="B Lotus"/>
          <w:sz w:val="28"/>
          <w:szCs w:val="28"/>
          <w:lang w:bidi="ar-SA"/>
        </w:rPr>
        <w:t>.</w:t>
      </w:r>
    </w:p>
    <w:p w14:paraId="4D8FFE1F" w14:textId="6693F53E" w:rsidR="00B80B4D" w:rsidRPr="00B80B4D" w:rsidRDefault="00B80B4D" w:rsidP="00B80B4D">
      <w:pPr>
        <w:spacing w:before="100" w:beforeAutospacing="1" w:after="100" w:afterAutospacing="1"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دستورالعمل نحوه حمایت از حقوق اشخاص دارای معلولیت و سالمند که در تاریخ 28 مرداد 1402 تصویب شده است</w:t>
      </w:r>
      <w:r w:rsidRPr="00866D80">
        <w:rPr>
          <w:rFonts w:ascii="Times New Roman" w:eastAsia="Times New Roman" w:hAnsi="Times New Roman" w:cs="B Lotus" w:hint="cs"/>
          <w:sz w:val="28"/>
          <w:szCs w:val="28"/>
          <w:rtl/>
          <w:lang w:bidi="ar-SA"/>
        </w:rPr>
        <w:t>.</w:t>
      </w:r>
    </w:p>
    <w:p w14:paraId="2814D1D7" w14:textId="77777777" w:rsidR="00B80B4D" w:rsidRPr="00B80B4D" w:rsidRDefault="00B80B4D" w:rsidP="00B80B4D">
      <w:pPr>
        <w:spacing w:after="0"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این قوانین به وضوح بیانگر لزوم توجه به حقوق سالمندان و ایجاد ضمانت اجراهای مؤثر برای جلوگیری از بزه‌دیدگی آن‌ها هستند</w:t>
      </w:r>
      <w:r w:rsidRPr="00B80B4D">
        <w:rPr>
          <w:rFonts w:ascii="Times New Roman" w:eastAsia="Times New Roman" w:hAnsi="Times New Roman" w:cs="B Lotus"/>
          <w:sz w:val="28"/>
          <w:szCs w:val="28"/>
          <w:lang w:bidi="ar-SA"/>
        </w:rPr>
        <w:t xml:space="preserve">. </w:t>
      </w:r>
      <w:r w:rsidRPr="00B80B4D">
        <w:rPr>
          <w:rFonts w:ascii="Times New Roman" w:eastAsia="Times New Roman" w:hAnsi="Times New Roman" w:cs="B Lotus"/>
          <w:sz w:val="28"/>
          <w:szCs w:val="28"/>
          <w:rtl/>
          <w:lang w:bidi="ar-SA"/>
        </w:rPr>
        <w:t>اقدامات حمایتی برای حمایت مؤثر از سالمندان بزه‌دیده، نیاز به اقدامات زیر احساس می‌شود</w:t>
      </w:r>
      <w:r w:rsidRPr="00B80B4D">
        <w:rPr>
          <w:rFonts w:ascii="Times New Roman" w:eastAsia="Times New Roman" w:hAnsi="Times New Roman" w:cs="B Lotus"/>
          <w:sz w:val="28"/>
          <w:szCs w:val="28"/>
          <w:lang w:bidi="ar-SA"/>
        </w:rPr>
        <w:t xml:space="preserve">: </w:t>
      </w:r>
    </w:p>
    <w:p w14:paraId="41C2F222" w14:textId="77777777" w:rsidR="00B80B4D" w:rsidRPr="00B80B4D" w:rsidRDefault="00B80B4D">
      <w:pPr>
        <w:numPr>
          <w:ilvl w:val="0"/>
          <w:numId w:val="1"/>
        </w:numPr>
        <w:spacing w:before="100" w:beforeAutospacing="1" w:after="100" w:afterAutospacing="1"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ایجاد مراکز حمایتی</w:t>
      </w:r>
      <w:r w:rsidRPr="00B80B4D">
        <w:rPr>
          <w:rFonts w:ascii="Times New Roman" w:eastAsia="Times New Roman" w:hAnsi="Times New Roman" w:cs="B Lotus"/>
          <w:sz w:val="28"/>
          <w:szCs w:val="28"/>
          <w:lang w:bidi="ar-SA"/>
        </w:rPr>
        <w:t xml:space="preserve">: </w:t>
      </w:r>
      <w:r w:rsidRPr="00B80B4D">
        <w:rPr>
          <w:rFonts w:ascii="Times New Roman" w:eastAsia="Times New Roman" w:hAnsi="Times New Roman" w:cs="B Lotus"/>
          <w:sz w:val="28"/>
          <w:szCs w:val="28"/>
          <w:rtl/>
          <w:lang w:bidi="ar-SA"/>
        </w:rPr>
        <w:t>تأسیس مراکز مشاوره و حمایت روان‌شناختی برای سالمندان</w:t>
      </w:r>
      <w:r w:rsidRPr="00B80B4D">
        <w:rPr>
          <w:rFonts w:ascii="Times New Roman" w:eastAsia="Times New Roman" w:hAnsi="Times New Roman" w:cs="B Lotus"/>
          <w:sz w:val="28"/>
          <w:szCs w:val="28"/>
          <w:lang w:bidi="ar-SA"/>
        </w:rPr>
        <w:t>.</w:t>
      </w:r>
    </w:p>
    <w:p w14:paraId="6ECFD1B3" w14:textId="77777777" w:rsidR="00B80B4D" w:rsidRPr="00B80B4D" w:rsidRDefault="00B80B4D">
      <w:pPr>
        <w:numPr>
          <w:ilvl w:val="0"/>
          <w:numId w:val="1"/>
        </w:numPr>
        <w:spacing w:before="100" w:beforeAutospacing="1" w:after="100" w:afterAutospacing="1"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آموزش حقوقی</w:t>
      </w:r>
      <w:r w:rsidRPr="00B80B4D">
        <w:rPr>
          <w:rFonts w:ascii="Times New Roman" w:eastAsia="Times New Roman" w:hAnsi="Times New Roman" w:cs="B Lotus"/>
          <w:sz w:val="28"/>
          <w:szCs w:val="28"/>
          <w:lang w:bidi="ar-SA"/>
        </w:rPr>
        <w:t xml:space="preserve">: </w:t>
      </w:r>
      <w:r w:rsidRPr="00B80B4D">
        <w:rPr>
          <w:rFonts w:ascii="Times New Roman" w:eastAsia="Times New Roman" w:hAnsi="Times New Roman" w:cs="B Lotus"/>
          <w:sz w:val="28"/>
          <w:szCs w:val="28"/>
          <w:rtl/>
          <w:lang w:bidi="ar-SA"/>
        </w:rPr>
        <w:t>افزایش آگاهی سالمندان درباره حقوق خود و نحوه دسترسی به خدمات حمایتی</w:t>
      </w:r>
      <w:r w:rsidRPr="00B80B4D">
        <w:rPr>
          <w:rFonts w:ascii="Times New Roman" w:eastAsia="Times New Roman" w:hAnsi="Times New Roman" w:cs="B Lotus"/>
          <w:sz w:val="28"/>
          <w:szCs w:val="28"/>
          <w:lang w:bidi="ar-SA"/>
        </w:rPr>
        <w:t>.</w:t>
      </w:r>
    </w:p>
    <w:p w14:paraId="35ACA794" w14:textId="77777777" w:rsidR="00B80B4D" w:rsidRPr="00B80B4D" w:rsidRDefault="00B80B4D">
      <w:pPr>
        <w:numPr>
          <w:ilvl w:val="0"/>
          <w:numId w:val="1"/>
        </w:numPr>
        <w:spacing w:before="100" w:beforeAutospacing="1" w:after="100" w:afterAutospacing="1" w:line="276" w:lineRule="auto"/>
        <w:jc w:val="both"/>
        <w:rPr>
          <w:rFonts w:ascii="Times New Roman" w:eastAsia="Times New Roman" w:hAnsi="Times New Roman" w:cs="B Lotus"/>
          <w:sz w:val="28"/>
          <w:szCs w:val="28"/>
          <w:lang w:bidi="ar-SA"/>
        </w:rPr>
      </w:pPr>
      <w:r w:rsidRPr="00B80B4D">
        <w:rPr>
          <w:rFonts w:ascii="Times New Roman" w:eastAsia="Times New Roman" w:hAnsi="Times New Roman" w:cs="B Lotus"/>
          <w:sz w:val="28"/>
          <w:szCs w:val="28"/>
          <w:rtl/>
          <w:lang w:bidi="ar-SA"/>
        </w:rPr>
        <w:t>تقویت قوانین</w:t>
      </w:r>
      <w:r w:rsidRPr="00B80B4D">
        <w:rPr>
          <w:rFonts w:ascii="Times New Roman" w:eastAsia="Times New Roman" w:hAnsi="Times New Roman" w:cs="B Lotus"/>
          <w:b/>
          <w:bCs/>
          <w:sz w:val="28"/>
          <w:szCs w:val="28"/>
          <w:lang w:bidi="ar-SA"/>
        </w:rPr>
        <w:t>:</w:t>
      </w:r>
      <w:r w:rsidRPr="00B80B4D">
        <w:rPr>
          <w:rFonts w:ascii="Times New Roman" w:eastAsia="Times New Roman" w:hAnsi="Times New Roman" w:cs="B Lotus"/>
          <w:sz w:val="28"/>
          <w:szCs w:val="28"/>
          <w:lang w:bidi="ar-SA"/>
        </w:rPr>
        <w:t xml:space="preserve"> </w:t>
      </w:r>
      <w:r w:rsidRPr="00B80B4D">
        <w:rPr>
          <w:rFonts w:ascii="Times New Roman" w:eastAsia="Times New Roman" w:hAnsi="Times New Roman" w:cs="B Lotus"/>
          <w:sz w:val="28"/>
          <w:szCs w:val="28"/>
          <w:rtl/>
          <w:lang w:bidi="ar-SA"/>
        </w:rPr>
        <w:t>تدوین و تقویت قوانین مربوط به حمایت از سالمندان بزه‌دیده برای تضمین اجرای مؤثر آن‌ها</w:t>
      </w:r>
    </w:p>
    <w:p w14:paraId="7AFB0EC4" w14:textId="77777777" w:rsidR="00866D80" w:rsidRPr="00866D80" w:rsidRDefault="00866D80" w:rsidP="008206A3">
      <w:pPr>
        <w:pStyle w:val="Subtitle"/>
        <w:spacing w:line="276" w:lineRule="auto"/>
        <w:ind w:right="-694"/>
        <w:jc w:val="both"/>
        <w:rPr>
          <w:rStyle w:val="arabs"/>
          <w:rFonts w:cs="B Lotus"/>
          <w:rtl/>
        </w:rPr>
      </w:pPr>
    </w:p>
    <w:p w14:paraId="1C03C011" w14:textId="77777777" w:rsidR="00866D80" w:rsidRPr="00866D80" w:rsidRDefault="00866D80" w:rsidP="008206A3">
      <w:pPr>
        <w:pStyle w:val="Subtitle"/>
        <w:spacing w:line="276" w:lineRule="auto"/>
        <w:ind w:right="-694"/>
        <w:jc w:val="both"/>
        <w:rPr>
          <w:rStyle w:val="arabs"/>
          <w:rFonts w:cs="B Lotus"/>
          <w:rtl/>
        </w:rPr>
      </w:pPr>
    </w:p>
    <w:p w14:paraId="3AE02B9F" w14:textId="77777777" w:rsidR="00866D80" w:rsidRPr="00866D80" w:rsidRDefault="00866D80" w:rsidP="008206A3">
      <w:pPr>
        <w:pStyle w:val="Subtitle"/>
        <w:spacing w:line="276" w:lineRule="auto"/>
        <w:ind w:right="-694"/>
        <w:jc w:val="both"/>
        <w:rPr>
          <w:rStyle w:val="arabs"/>
          <w:rFonts w:cs="B Lotus"/>
          <w:rtl/>
        </w:rPr>
      </w:pPr>
    </w:p>
    <w:p w14:paraId="34284CAF" w14:textId="77777777" w:rsidR="00866D80" w:rsidRPr="00866D80" w:rsidRDefault="00866D80" w:rsidP="008206A3">
      <w:pPr>
        <w:pStyle w:val="Subtitle"/>
        <w:spacing w:line="276" w:lineRule="auto"/>
        <w:ind w:right="-694"/>
        <w:jc w:val="both"/>
        <w:rPr>
          <w:rStyle w:val="arabs"/>
          <w:rFonts w:cs="B Lotus"/>
          <w:rtl/>
        </w:rPr>
      </w:pPr>
    </w:p>
    <w:p w14:paraId="2B7EB717" w14:textId="77777777" w:rsidR="00866D80" w:rsidRPr="00866D80" w:rsidRDefault="00866D80" w:rsidP="008206A3">
      <w:pPr>
        <w:pStyle w:val="Subtitle"/>
        <w:spacing w:line="276" w:lineRule="auto"/>
        <w:ind w:right="-694"/>
        <w:jc w:val="both"/>
        <w:rPr>
          <w:rStyle w:val="arabs"/>
          <w:rFonts w:cs="B Lotus"/>
          <w:rtl/>
        </w:rPr>
      </w:pPr>
    </w:p>
    <w:p w14:paraId="1348EFBC" w14:textId="77777777" w:rsidR="00866D80" w:rsidRPr="00866D80" w:rsidRDefault="00866D80" w:rsidP="008206A3">
      <w:pPr>
        <w:pStyle w:val="Subtitle"/>
        <w:spacing w:line="276" w:lineRule="auto"/>
        <w:ind w:right="-694"/>
        <w:jc w:val="both"/>
        <w:rPr>
          <w:rStyle w:val="arabs"/>
          <w:rFonts w:cs="B Lotus"/>
          <w:rtl/>
        </w:rPr>
      </w:pPr>
    </w:p>
    <w:p w14:paraId="57640CA5" w14:textId="77777777" w:rsidR="00866D80" w:rsidRPr="00866D80" w:rsidRDefault="00866D80" w:rsidP="008206A3">
      <w:pPr>
        <w:pStyle w:val="Subtitle"/>
        <w:spacing w:line="276" w:lineRule="auto"/>
        <w:ind w:right="-694"/>
        <w:jc w:val="both"/>
        <w:rPr>
          <w:rStyle w:val="arabs"/>
          <w:rFonts w:cs="B Lotus"/>
          <w:rtl/>
        </w:rPr>
      </w:pPr>
    </w:p>
    <w:p w14:paraId="7B15116D" w14:textId="77777777" w:rsidR="00866D80" w:rsidRPr="00866D80" w:rsidRDefault="00866D80" w:rsidP="008206A3">
      <w:pPr>
        <w:pStyle w:val="Subtitle"/>
        <w:spacing w:line="276" w:lineRule="auto"/>
        <w:ind w:right="-694"/>
        <w:jc w:val="both"/>
        <w:rPr>
          <w:rStyle w:val="arabs"/>
          <w:rFonts w:cs="B Lotus"/>
          <w:rtl/>
        </w:rPr>
      </w:pPr>
    </w:p>
    <w:p w14:paraId="3023FD3D" w14:textId="77777777" w:rsidR="00866D80" w:rsidRPr="00866D80" w:rsidRDefault="00866D80" w:rsidP="008206A3">
      <w:pPr>
        <w:pStyle w:val="Subtitle"/>
        <w:spacing w:line="276" w:lineRule="auto"/>
        <w:ind w:right="-694"/>
        <w:jc w:val="both"/>
        <w:rPr>
          <w:rStyle w:val="arabs"/>
          <w:rFonts w:cs="B Lotus"/>
          <w:rtl/>
        </w:rPr>
      </w:pPr>
    </w:p>
    <w:p w14:paraId="532B2650" w14:textId="77777777" w:rsidR="00866D80" w:rsidRPr="00866D80" w:rsidRDefault="00866D80" w:rsidP="008206A3">
      <w:pPr>
        <w:pStyle w:val="Subtitle"/>
        <w:spacing w:line="276" w:lineRule="auto"/>
        <w:ind w:right="-694"/>
        <w:jc w:val="both"/>
        <w:rPr>
          <w:rStyle w:val="arabs"/>
          <w:rFonts w:cs="B Lotus"/>
          <w:rtl/>
        </w:rPr>
      </w:pPr>
    </w:p>
    <w:p w14:paraId="283ADD50" w14:textId="77777777" w:rsidR="00866D80" w:rsidRPr="00866D80" w:rsidRDefault="00866D80" w:rsidP="008206A3">
      <w:pPr>
        <w:pStyle w:val="Subtitle"/>
        <w:spacing w:line="276" w:lineRule="auto"/>
        <w:ind w:right="-694"/>
        <w:jc w:val="both"/>
        <w:rPr>
          <w:rStyle w:val="arabs"/>
          <w:rFonts w:cs="B Lotus"/>
          <w:rtl/>
        </w:rPr>
      </w:pPr>
    </w:p>
    <w:p w14:paraId="0CB3A822" w14:textId="77777777" w:rsidR="00866D80" w:rsidRPr="00866D80" w:rsidRDefault="00866D80" w:rsidP="008206A3">
      <w:pPr>
        <w:pStyle w:val="Subtitle"/>
        <w:spacing w:line="276" w:lineRule="auto"/>
        <w:ind w:right="-694"/>
        <w:jc w:val="both"/>
        <w:rPr>
          <w:rStyle w:val="arabs"/>
          <w:rFonts w:cs="B Lotus"/>
          <w:rtl/>
        </w:rPr>
      </w:pPr>
    </w:p>
    <w:p w14:paraId="33FD3E25" w14:textId="77777777" w:rsidR="00866D80" w:rsidRPr="00866D80" w:rsidRDefault="00866D80" w:rsidP="008206A3">
      <w:pPr>
        <w:pStyle w:val="Subtitle"/>
        <w:spacing w:line="276" w:lineRule="auto"/>
        <w:ind w:right="-694"/>
        <w:jc w:val="both"/>
        <w:rPr>
          <w:rStyle w:val="arabs"/>
          <w:rFonts w:cs="B Lotus"/>
          <w:rtl/>
        </w:rPr>
      </w:pPr>
    </w:p>
    <w:p w14:paraId="558E7BB9" w14:textId="0E061C67" w:rsidR="00B80B4D" w:rsidRPr="00866D80" w:rsidRDefault="00B80B4D" w:rsidP="008206A3">
      <w:pPr>
        <w:pStyle w:val="Subtitle"/>
        <w:spacing w:line="276" w:lineRule="auto"/>
        <w:ind w:right="-694"/>
        <w:jc w:val="both"/>
        <w:rPr>
          <w:rStyle w:val="arabs"/>
          <w:rFonts w:cs="B Lotus"/>
          <w:rtl/>
        </w:rPr>
      </w:pPr>
      <w:r w:rsidRPr="00866D80">
        <w:rPr>
          <w:rStyle w:val="arabs"/>
          <w:rFonts w:cs="B Lotus" w:hint="cs"/>
          <w:rtl/>
        </w:rPr>
        <w:t xml:space="preserve">نتیجه </w:t>
      </w:r>
    </w:p>
    <w:p w14:paraId="3EFF77D9" w14:textId="77777777" w:rsidR="00AB1BE5" w:rsidRPr="00866D80" w:rsidRDefault="00AB1BE5" w:rsidP="00866D80">
      <w:pPr>
        <w:pStyle w:val="Subtitle"/>
        <w:spacing w:line="276" w:lineRule="auto"/>
        <w:ind w:right="-694"/>
        <w:jc w:val="both"/>
        <w:rPr>
          <w:rStyle w:val="arabs"/>
          <w:rFonts w:cs="B Lotus"/>
        </w:rPr>
      </w:pPr>
    </w:p>
    <w:p w14:paraId="6652A435" w14:textId="77777777" w:rsidR="00866D80" w:rsidRPr="00866D80" w:rsidRDefault="00866D80" w:rsidP="00866D80">
      <w:pPr>
        <w:spacing w:after="0" w:line="240" w:lineRule="auto"/>
        <w:jc w:val="both"/>
        <w:rPr>
          <w:rFonts w:ascii="Times New Roman" w:eastAsia="Times New Roman" w:hAnsi="Times New Roman" w:cs="B Lotus"/>
          <w:sz w:val="28"/>
          <w:szCs w:val="28"/>
          <w:lang w:bidi="ar-SA"/>
        </w:rPr>
      </w:pPr>
      <w:r w:rsidRPr="00866D80">
        <w:rPr>
          <w:rFonts w:ascii="Times New Roman" w:eastAsia="Times New Roman" w:hAnsi="Times New Roman" w:cs="B Lotus"/>
          <w:sz w:val="28"/>
          <w:szCs w:val="28"/>
          <w:rtl/>
          <w:lang w:bidi="ar-SA"/>
        </w:rPr>
        <w:t>حمایت از بزه‌دیدگان بالقوه در نظام حقوقی ایران، به ویژه برای گروه‌های آسیب‌پذیر مانند معلولین، سالمندان، زنان بی‌سرپرست و کودکان، یک ضرورت حیاتی و اجتماعی است که نیازمند توجه جدی و اقدامات مؤثر می‌باشد. این گروه‌ها به دلیل ویژگی‌های خاص خود، از جمله ناتوانی‌های جسمی و ذهنی، آسیب‌پذیری بالا، فقدان حمایت اجتماعی و اقتصادی، و عدم توانایی در دفاع از خود، بیشتر در معرض خطر بزه‌دیدگی قرار دارند. بررسی‌های انجام‌شده نشان می‌دهد که نظام حقوقی ایران هنوز نتوانسته است به طور کامل نیازهای این بزه‌دیدگان را شناسایی و پاسخگو باشد. با وجود وجود برخی قوانین حمایتی مانند قانون حمایت از حقوق معلولان و قانون حمایت از خانواده، این قوانین معمولاً پراکنده و ناکافی هستند و به طور کامل نیازهای این بزه‌دیدگان را پوشش نمی‌دهند</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از این رو، ضروری است که نظام حقوقی ایران اقداماتی را در زمینه تدوین قوانین خاص و تقویت ساختارهای حمایتی انجام دهد. این اقدامات باید شامل تعریف دقیق بزه‌دیدگی باشد تا بتوان شناسایی و پیگیری موارد آن را تسهیل کرد. همچنین، ایجاد سازوکارهای قانونی ویژه برای حمایت از بزه‌دیدگان بالقوه، شامل حق دسترسی به مشاوره حقوقی و روان‌شناختی، می‌تواند به کاهش آسیب‌ها کمک کند. علاوه بر این، توسعه خدمات اجتماعی برای گروه‌های آسیب‌پذیر، شامل تأسیس مراکز مراقبت و حمایت اجتماعی، از دیگر اقداماتی است که باید مورد توجه قرار گیرد</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آموزش و آگاهی‌بخشی نیز نقش مهمی در حمایت از بزه‌دیدگان بالقوه ایفا می‌کند. برگزاری دوره‌های آموزشی برای قضات، پلیس و کارکنان اجتماعی درباره حقوق بزه‌دیدگان و نحوه برخورد با آن‌ها می‌تواند به بهبود فرآیندهای حمایتی کمک کند. همچنین، تقویت نقش سازمان‌های مردم‌نهاد (سمن‌ها) در این زمینه بسیار حائز اهمیت است؛ زیرا این سازمان‌ها می‌توانند با ارائه خدمات مشاوره‌ای و حمایتی به بزه‌دیدگان، نقش مؤثری در کاهش آسیب‌ها ایفا کنند</w:t>
      </w:r>
      <w:r w:rsidRPr="00866D80">
        <w:rPr>
          <w:rFonts w:ascii="Times New Roman" w:eastAsia="Times New Roman" w:hAnsi="Times New Roman" w:cs="B Lotus"/>
          <w:sz w:val="28"/>
          <w:szCs w:val="28"/>
          <w:lang w:bidi="ar-SA"/>
        </w:rPr>
        <w:t xml:space="preserve">. </w:t>
      </w:r>
      <w:r w:rsidRPr="00866D80">
        <w:rPr>
          <w:rFonts w:ascii="Times New Roman" w:eastAsia="Times New Roman" w:hAnsi="Times New Roman" w:cs="B Lotus"/>
          <w:sz w:val="28"/>
          <w:szCs w:val="28"/>
          <w:rtl/>
          <w:lang w:bidi="ar-SA"/>
        </w:rPr>
        <w:t xml:space="preserve">در نهایت، تحقق حمایت مؤثر از بزه‌دیدگان بالقوه نه تنها یک وظیفه انسانی بلکه یک ضرورت اجتماعی است که باید با همکاری بین نهادهای دولتی، سازمان‌های غیر دولتی و جامعه مدنی مورد توجه قرار گیرد. ایجاد یک محیط امن‌تر و حمایتی‌تر برای همه افراد جامعه نیازمند همت جمعی است تا بتوانیم از بروز بزه‌دیدگی‌های </w:t>
      </w:r>
      <w:r w:rsidRPr="00866D80">
        <w:rPr>
          <w:rFonts w:ascii="Times New Roman" w:eastAsia="Times New Roman" w:hAnsi="Times New Roman" w:cs="B Lotus"/>
          <w:sz w:val="28"/>
          <w:szCs w:val="28"/>
          <w:rtl/>
          <w:lang w:bidi="ar-SA"/>
        </w:rPr>
        <w:lastRenderedPageBreak/>
        <w:t>بیشتر جلوگیری کرده و حقوق این افراد را تضمین نماییم. تنها با اتخاذ رویکردی جامع و هماهنگ می‌توان به سمت آینده‌ای بهتر برای گروه‌های آسیب‌پذیر حرکت کرد</w:t>
      </w:r>
      <w:r w:rsidRPr="00866D80">
        <w:rPr>
          <w:rFonts w:ascii="Times New Roman" w:eastAsia="Times New Roman" w:hAnsi="Times New Roman" w:cs="B Lotus"/>
          <w:sz w:val="28"/>
          <w:szCs w:val="28"/>
          <w:lang w:bidi="ar-SA"/>
        </w:rPr>
        <w:t>.</w:t>
      </w:r>
    </w:p>
    <w:p w14:paraId="4BA60656" w14:textId="77777777" w:rsidR="00F26BE6" w:rsidRPr="00866D80" w:rsidRDefault="00F26BE6" w:rsidP="008206A3">
      <w:pPr>
        <w:pStyle w:val="Subtitle"/>
        <w:spacing w:line="276" w:lineRule="auto"/>
        <w:ind w:right="-694"/>
        <w:jc w:val="both"/>
        <w:rPr>
          <w:rFonts w:cs="B Lotus"/>
          <w:rtl/>
          <w:lang w:bidi="fa-IR"/>
        </w:rPr>
      </w:pPr>
    </w:p>
    <w:p w14:paraId="47B1075B" w14:textId="77777777" w:rsidR="00AA2A79" w:rsidRDefault="00AA2A79" w:rsidP="008206A3">
      <w:pPr>
        <w:spacing w:line="276" w:lineRule="auto"/>
        <w:jc w:val="both"/>
        <w:rPr>
          <w:rFonts w:cs="B Lotus"/>
          <w:b/>
          <w:bCs/>
          <w:sz w:val="28"/>
          <w:szCs w:val="28"/>
          <w:rtl/>
        </w:rPr>
      </w:pPr>
    </w:p>
    <w:p w14:paraId="325E27D1" w14:textId="77777777" w:rsidR="000D46FD" w:rsidRDefault="000D46FD" w:rsidP="008206A3">
      <w:pPr>
        <w:spacing w:line="276" w:lineRule="auto"/>
        <w:jc w:val="both"/>
        <w:rPr>
          <w:rFonts w:cs="B Lotus"/>
          <w:b/>
          <w:bCs/>
          <w:sz w:val="28"/>
          <w:szCs w:val="28"/>
          <w:rtl/>
        </w:rPr>
      </w:pPr>
    </w:p>
    <w:p w14:paraId="2C335E36" w14:textId="77777777" w:rsidR="000D46FD" w:rsidRDefault="000D46FD" w:rsidP="008206A3">
      <w:pPr>
        <w:spacing w:line="276" w:lineRule="auto"/>
        <w:jc w:val="both"/>
        <w:rPr>
          <w:rFonts w:cs="B Lotus"/>
          <w:b/>
          <w:bCs/>
          <w:sz w:val="28"/>
          <w:szCs w:val="28"/>
          <w:rtl/>
        </w:rPr>
      </w:pPr>
    </w:p>
    <w:p w14:paraId="06172FD7" w14:textId="1C5E79F2" w:rsidR="000D46FD" w:rsidRDefault="000D46FD" w:rsidP="008206A3">
      <w:pPr>
        <w:spacing w:line="276" w:lineRule="auto"/>
        <w:jc w:val="both"/>
        <w:rPr>
          <w:rFonts w:cs="B Lotus"/>
          <w:b/>
          <w:bCs/>
          <w:sz w:val="28"/>
          <w:szCs w:val="28"/>
          <w:rtl/>
        </w:rPr>
      </w:pPr>
      <w:r>
        <w:rPr>
          <w:rFonts w:cs="B Lotus" w:hint="cs"/>
          <w:b/>
          <w:bCs/>
          <w:sz w:val="28"/>
          <w:szCs w:val="28"/>
          <w:rtl/>
        </w:rPr>
        <w:t>منابع:</w:t>
      </w:r>
    </w:p>
    <w:p w14:paraId="63D64CD8"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اختری، عباس </w:t>
      </w:r>
      <w:r w:rsidRPr="000D46FD">
        <w:rPr>
          <w:rFonts w:ascii="Times New Roman" w:eastAsia="Times New Roman" w:hAnsi="Times New Roman" w:cs="B Lotus"/>
          <w:sz w:val="28"/>
          <w:szCs w:val="28"/>
          <w:lang w:bidi="ar-SA"/>
        </w:rPr>
        <w:t>(2019). "</w:t>
      </w:r>
      <w:r w:rsidRPr="000D46FD">
        <w:rPr>
          <w:rFonts w:ascii="Times New Roman" w:eastAsia="Times New Roman" w:hAnsi="Times New Roman" w:cs="B Lotus"/>
          <w:sz w:val="28"/>
          <w:szCs w:val="28"/>
          <w:rtl/>
          <w:lang w:bidi="ar-SA"/>
        </w:rPr>
        <w:t>جایگاه حقوق بزه دیده در مرحله تحقیقات مقدماتی از منظر قانون آیین دادرسی کیفری</w:t>
      </w:r>
      <w:r w:rsidRPr="000D46FD">
        <w:rPr>
          <w:rFonts w:ascii="Times New Roman" w:eastAsia="Times New Roman" w:hAnsi="Times New Roman" w:cs="B Lotus"/>
          <w:sz w:val="28"/>
          <w:szCs w:val="28"/>
          <w:lang w:bidi="ar-SA"/>
        </w:rPr>
        <w:t>."</w:t>
      </w:r>
    </w:p>
    <w:p w14:paraId="7F16C227"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حاجی ده آبادی، احمد </w:t>
      </w:r>
      <w:r w:rsidRPr="000D46FD">
        <w:rPr>
          <w:rFonts w:ascii="Times New Roman" w:eastAsia="Times New Roman" w:hAnsi="Times New Roman" w:cs="B Lotus"/>
          <w:sz w:val="28"/>
          <w:szCs w:val="28"/>
          <w:lang w:bidi="ar-SA"/>
        </w:rPr>
        <w:t>(1385). "</w:t>
      </w:r>
      <w:r w:rsidRPr="000D46FD">
        <w:rPr>
          <w:rFonts w:ascii="Times New Roman" w:eastAsia="Times New Roman" w:hAnsi="Times New Roman" w:cs="B Lotus"/>
          <w:sz w:val="28"/>
          <w:szCs w:val="28"/>
          <w:rtl/>
          <w:lang w:bidi="ar-SA"/>
        </w:rPr>
        <w:t>از جبران خسارت بزه دیده توسط بزه کار تا جبران خسارت توسط دولت." مجله فقه و حقوق، شماره 95، سال سوم، تابستان</w:t>
      </w:r>
      <w:r w:rsidRPr="000D46FD">
        <w:rPr>
          <w:rFonts w:ascii="Times New Roman" w:eastAsia="Times New Roman" w:hAnsi="Times New Roman" w:cs="B Lotus"/>
          <w:sz w:val="28"/>
          <w:szCs w:val="28"/>
          <w:lang w:bidi="ar-SA"/>
        </w:rPr>
        <w:t>.</w:t>
      </w:r>
    </w:p>
    <w:p w14:paraId="27233F44"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حسینی، سید محمد </w:t>
      </w:r>
      <w:r w:rsidRPr="000D46FD">
        <w:rPr>
          <w:rFonts w:ascii="Times New Roman" w:eastAsia="Times New Roman" w:hAnsi="Times New Roman" w:cs="B Lotus"/>
          <w:sz w:val="28"/>
          <w:szCs w:val="28"/>
          <w:lang w:bidi="ar-SA"/>
        </w:rPr>
        <w:t>(1393). "</w:t>
      </w:r>
      <w:r w:rsidRPr="000D46FD">
        <w:rPr>
          <w:rFonts w:ascii="Times New Roman" w:eastAsia="Times New Roman" w:hAnsi="Times New Roman" w:cs="B Lotus"/>
          <w:sz w:val="28"/>
          <w:szCs w:val="28"/>
          <w:rtl/>
          <w:lang w:bidi="ar-SA"/>
        </w:rPr>
        <w:t>سیاست جناخی در اسلام و در جمهوری اسلامی ایران." تهران: موسسه انتشارات و چاپ دانشگاه تهران و سمت</w:t>
      </w:r>
      <w:r w:rsidRPr="000D46FD">
        <w:rPr>
          <w:rFonts w:ascii="Times New Roman" w:eastAsia="Times New Roman" w:hAnsi="Times New Roman" w:cs="B Lotus"/>
          <w:sz w:val="28"/>
          <w:szCs w:val="28"/>
          <w:lang w:bidi="ar-SA"/>
        </w:rPr>
        <w:t>.</w:t>
      </w:r>
    </w:p>
    <w:p w14:paraId="0E3ED92A"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حسنعلی حسینلو </w:t>
      </w:r>
      <w:r w:rsidRPr="000D46FD">
        <w:rPr>
          <w:rFonts w:ascii="Times New Roman" w:eastAsia="Times New Roman" w:hAnsi="Times New Roman" w:cs="B Lotus"/>
          <w:sz w:val="28"/>
          <w:szCs w:val="28"/>
          <w:lang w:bidi="ar-SA"/>
        </w:rPr>
        <w:t>(1304). "</w:t>
      </w:r>
      <w:r w:rsidRPr="000D46FD">
        <w:rPr>
          <w:rFonts w:ascii="Times New Roman" w:eastAsia="Times New Roman" w:hAnsi="Times New Roman" w:cs="B Lotus"/>
          <w:sz w:val="28"/>
          <w:szCs w:val="28"/>
          <w:rtl/>
          <w:lang w:bidi="ar-SA"/>
        </w:rPr>
        <w:t>حمایت از بزه دیده در قانون آئین دادرسی کیفری با بررسی تطبیقی آن با کشور فرانسه." پایان نامه دوره کارشناسی ارشد، دانشگاه امام صادق، تهران</w:t>
      </w:r>
      <w:r w:rsidRPr="000D46FD">
        <w:rPr>
          <w:rFonts w:ascii="Times New Roman" w:eastAsia="Times New Roman" w:hAnsi="Times New Roman" w:cs="B Lotus"/>
          <w:sz w:val="28"/>
          <w:szCs w:val="28"/>
          <w:lang w:bidi="ar-SA"/>
        </w:rPr>
        <w:t>.</w:t>
      </w:r>
    </w:p>
    <w:p w14:paraId="1C1DE259" w14:textId="77777777" w:rsid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خراسانی، مجتبی </w:t>
      </w:r>
      <w:r w:rsidRPr="000D46FD">
        <w:rPr>
          <w:rFonts w:ascii="Times New Roman" w:eastAsia="Times New Roman" w:hAnsi="Times New Roman" w:cs="B Lotus"/>
          <w:sz w:val="28"/>
          <w:szCs w:val="28"/>
          <w:lang w:bidi="ar-SA"/>
        </w:rPr>
        <w:t>(1384). "</w:t>
      </w:r>
      <w:r w:rsidRPr="000D46FD">
        <w:rPr>
          <w:rFonts w:ascii="Times New Roman" w:eastAsia="Times New Roman" w:hAnsi="Times New Roman" w:cs="B Lotus"/>
          <w:sz w:val="28"/>
          <w:szCs w:val="28"/>
          <w:rtl/>
          <w:lang w:bidi="ar-SA"/>
        </w:rPr>
        <w:t>بررسی علل بزهکاری جوانان در استان گلستان." پایان‌نامه ارشد دانشگاه حقوق گلستان</w:t>
      </w:r>
      <w:r w:rsidRPr="000D46FD">
        <w:rPr>
          <w:rFonts w:ascii="Times New Roman" w:eastAsia="Times New Roman" w:hAnsi="Times New Roman" w:cs="B Lotus"/>
          <w:sz w:val="28"/>
          <w:szCs w:val="28"/>
          <w:lang w:bidi="ar-SA"/>
        </w:rPr>
        <w:t>.</w:t>
      </w:r>
    </w:p>
    <w:p w14:paraId="026990B1"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شریعت باقری، محمد جواد </w:t>
      </w:r>
      <w:r w:rsidRPr="000D46FD">
        <w:rPr>
          <w:rFonts w:ascii="Times New Roman" w:eastAsia="Times New Roman" w:hAnsi="Times New Roman" w:cs="B Lotus"/>
          <w:sz w:val="28"/>
          <w:szCs w:val="28"/>
          <w:lang w:bidi="ar-SA"/>
        </w:rPr>
        <w:t>(1377). "</w:t>
      </w:r>
      <w:r w:rsidRPr="000D46FD">
        <w:rPr>
          <w:rFonts w:ascii="Times New Roman" w:eastAsia="Times New Roman" w:hAnsi="Times New Roman" w:cs="B Lotus"/>
          <w:sz w:val="28"/>
          <w:szCs w:val="28"/>
          <w:rtl/>
          <w:lang w:bidi="ar-SA"/>
        </w:rPr>
        <w:t>نگاهی به اسانامه دیوان کیفری بین المللی." فصلنامه دیدگاه‌های حقوقی، شماره 12</w:t>
      </w:r>
      <w:r w:rsidRPr="000D46FD">
        <w:rPr>
          <w:rFonts w:ascii="Times New Roman" w:eastAsia="Times New Roman" w:hAnsi="Times New Roman" w:cs="B Lotus"/>
          <w:sz w:val="28"/>
          <w:szCs w:val="28"/>
          <w:lang w:bidi="ar-SA"/>
        </w:rPr>
        <w:t>.</w:t>
      </w:r>
    </w:p>
    <w:p w14:paraId="0EF9060B" w14:textId="3106C6E0"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lastRenderedPageBreak/>
        <w:t xml:space="preserve">شيري، عباس </w:t>
      </w:r>
      <w:r w:rsidRPr="000D46FD">
        <w:rPr>
          <w:rFonts w:ascii="Times New Roman" w:eastAsia="Times New Roman" w:hAnsi="Times New Roman" w:cs="B Lotus"/>
          <w:sz w:val="28"/>
          <w:szCs w:val="28"/>
          <w:lang w:bidi="ar-SA"/>
        </w:rPr>
        <w:t>(1398). "</w:t>
      </w:r>
      <w:r w:rsidRPr="000D46FD">
        <w:rPr>
          <w:rFonts w:ascii="Times New Roman" w:eastAsia="Times New Roman" w:hAnsi="Times New Roman" w:cs="B Lotus"/>
          <w:sz w:val="28"/>
          <w:szCs w:val="28"/>
          <w:rtl/>
          <w:lang w:bidi="ar-SA"/>
        </w:rPr>
        <w:t>رفتار کرامت مداری با بزه دیده: اعطای اختیار در مرحله تحقیق و تعقیب." تازه‌های علوم جناعی (مجموعه مقالات)</w:t>
      </w:r>
      <w:r w:rsidRPr="000D46FD">
        <w:rPr>
          <w:rFonts w:ascii="Times New Roman" w:eastAsia="Times New Roman" w:hAnsi="Times New Roman" w:cs="B Lotus"/>
          <w:sz w:val="28"/>
          <w:szCs w:val="28"/>
          <w:lang w:bidi="ar-SA"/>
        </w:rPr>
        <w:t>.</w:t>
      </w:r>
    </w:p>
    <w:p w14:paraId="5A2E3BB7"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رایجیان اصلی، مهرداد </w:t>
      </w:r>
      <w:r w:rsidRPr="000D46FD">
        <w:rPr>
          <w:rFonts w:ascii="Times New Roman" w:eastAsia="Times New Roman" w:hAnsi="Times New Roman" w:cs="B Lotus"/>
          <w:sz w:val="28"/>
          <w:szCs w:val="28"/>
          <w:lang w:bidi="ar-SA"/>
        </w:rPr>
        <w:t>(1383). "</w:t>
      </w:r>
      <w:r w:rsidRPr="000D46FD">
        <w:rPr>
          <w:rFonts w:ascii="Times New Roman" w:eastAsia="Times New Roman" w:hAnsi="Times New Roman" w:cs="B Lotus"/>
          <w:sz w:val="28"/>
          <w:szCs w:val="28"/>
          <w:rtl/>
          <w:lang w:bidi="ar-SA"/>
        </w:rPr>
        <w:t>سه گفتار تطبیقی در بزه دیده شناسی: داخلی، منطقه‌ای و بین‌المللی." مجله حقوقی دادگستری، شماره 46</w:t>
      </w:r>
      <w:r w:rsidRPr="000D46FD">
        <w:rPr>
          <w:rFonts w:ascii="Times New Roman" w:eastAsia="Times New Roman" w:hAnsi="Times New Roman" w:cs="B Lotus"/>
          <w:sz w:val="28"/>
          <w:szCs w:val="28"/>
          <w:lang w:bidi="ar-SA"/>
        </w:rPr>
        <w:t>.</w:t>
      </w:r>
    </w:p>
    <w:p w14:paraId="02796E4A"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bidi="ar-SA"/>
        </w:rPr>
      </w:pPr>
      <w:r w:rsidRPr="000D46FD">
        <w:rPr>
          <w:rFonts w:ascii="Times New Roman" w:eastAsia="Times New Roman" w:hAnsi="Times New Roman" w:cs="B Lotus"/>
          <w:sz w:val="28"/>
          <w:szCs w:val="28"/>
          <w:rtl/>
          <w:lang w:bidi="ar-SA"/>
        </w:rPr>
        <w:t xml:space="preserve">راه خوشبختی </w:t>
      </w:r>
      <w:r w:rsidRPr="000D46FD">
        <w:rPr>
          <w:rFonts w:ascii="Times New Roman" w:eastAsia="Times New Roman" w:hAnsi="Times New Roman" w:cs="B Lotus"/>
          <w:sz w:val="28"/>
          <w:szCs w:val="28"/>
          <w:lang w:bidi="ar-SA"/>
        </w:rPr>
        <w:t>(1397). "</w:t>
      </w:r>
      <w:r w:rsidRPr="000D46FD">
        <w:rPr>
          <w:rFonts w:ascii="Times New Roman" w:eastAsia="Times New Roman" w:hAnsi="Times New Roman" w:cs="B Lotus"/>
          <w:sz w:val="28"/>
          <w:szCs w:val="28"/>
          <w:rtl/>
          <w:lang w:bidi="ar-SA"/>
        </w:rPr>
        <w:t>قانون حمایت از حقوق معلولان و کنوانسیون حقوق معلولان." تهران و قم: کمپین پیگیری حقوق معلولان و دفتر فرهنگ معلولین</w:t>
      </w:r>
      <w:r w:rsidRPr="000D46FD">
        <w:rPr>
          <w:rFonts w:ascii="Times New Roman" w:eastAsia="Times New Roman" w:hAnsi="Times New Roman" w:cs="Times New Roman"/>
          <w:sz w:val="24"/>
          <w:szCs w:val="24"/>
          <w:lang w:bidi="ar-SA"/>
        </w:rPr>
        <w:t>.</w:t>
      </w:r>
    </w:p>
    <w:p w14:paraId="013B4762" w14:textId="553C7C9C"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زارعی بابک و حسین </w:t>
      </w:r>
      <w:r w:rsidRPr="000D46FD">
        <w:rPr>
          <w:rFonts w:ascii="Times New Roman" w:eastAsia="Times New Roman" w:hAnsi="Times New Roman" w:cs="B Lotus"/>
          <w:sz w:val="28"/>
          <w:szCs w:val="28"/>
          <w:lang w:bidi="ar-SA"/>
        </w:rPr>
        <w:t>(1398). "</w:t>
      </w:r>
      <w:r w:rsidRPr="000D46FD">
        <w:rPr>
          <w:rFonts w:ascii="Times New Roman" w:eastAsia="Times New Roman" w:hAnsi="Times New Roman" w:cs="B Lotus"/>
          <w:sz w:val="28"/>
          <w:szCs w:val="28"/>
          <w:rtl/>
          <w:lang w:bidi="ar-SA"/>
        </w:rPr>
        <w:t>نگهداری پیشگیری وضعی در قبال جرایم علیه معلولین." تهران: اندیشه رشد</w:t>
      </w:r>
      <w:r w:rsidRPr="000D46FD">
        <w:rPr>
          <w:rFonts w:ascii="Times New Roman" w:eastAsia="Times New Roman" w:hAnsi="Times New Roman" w:cs="B Lotus"/>
          <w:sz w:val="28"/>
          <w:szCs w:val="28"/>
          <w:lang w:bidi="ar-SA"/>
        </w:rPr>
        <w:t>.</w:t>
      </w:r>
    </w:p>
    <w:p w14:paraId="41812BC0"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قوام، سید عظیم </w:t>
      </w:r>
      <w:r w:rsidRPr="000D46FD">
        <w:rPr>
          <w:rFonts w:ascii="Times New Roman" w:eastAsia="Times New Roman" w:hAnsi="Times New Roman" w:cs="B Lotus"/>
          <w:sz w:val="28"/>
          <w:szCs w:val="28"/>
          <w:lang w:bidi="ar-SA"/>
        </w:rPr>
        <w:t>(1392). "</w:t>
      </w:r>
      <w:r w:rsidRPr="000D46FD">
        <w:rPr>
          <w:rFonts w:ascii="Times New Roman" w:eastAsia="Times New Roman" w:hAnsi="Times New Roman" w:cs="B Lotus"/>
          <w:sz w:val="28"/>
          <w:szCs w:val="28"/>
          <w:rtl/>
          <w:lang w:bidi="ar-SA"/>
        </w:rPr>
        <w:t>نقش بزه ديدگان در کشف جرم و حمایت پلیس از آنان." فصلنامه انتظام اجتماعی، سال پنجم، شماره سوم، پاییز 1392</w:t>
      </w:r>
      <w:r w:rsidRPr="000D46FD">
        <w:rPr>
          <w:rFonts w:ascii="Times New Roman" w:eastAsia="Times New Roman" w:hAnsi="Times New Roman" w:cs="B Lotus"/>
          <w:sz w:val="28"/>
          <w:szCs w:val="28"/>
          <w:lang w:bidi="ar-SA"/>
        </w:rPr>
        <w:t>.</w:t>
      </w:r>
    </w:p>
    <w:p w14:paraId="1378402A"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مرادزاده حسن و دیگران </w:t>
      </w:r>
      <w:r w:rsidRPr="000D46FD">
        <w:rPr>
          <w:rFonts w:ascii="Times New Roman" w:eastAsia="Times New Roman" w:hAnsi="Times New Roman" w:cs="B Lotus"/>
          <w:sz w:val="28"/>
          <w:szCs w:val="28"/>
          <w:lang w:bidi="ar-SA"/>
        </w:rPr>
        <w:t>(1395). "</w:t>
      </w:r>
      <w:r w:rsidRPr="000D46FD">
        <w:rPr>
          <w:rFonts w:ascii="Times New Roman" w:eastAsia="Times New Roman" w:hAnsi="Times New Roman" w:cs="B Lotus"/>
          <w:sz w:val="28"/>
          <w:szCs w:val="28"/>
          <w:rtl/>
          <w:lang w:bidi="ar-SA"/>
        </w:rPr>
        <w:t>کنوانسیون بین‌المللی حقوق معلولین و اجرای آن در ایران." تهران: شهر دانش</w:t>
      </w:r>
      <w:r w:rsidRPr="000D46FD">
        <w:rPr>
          <w:rFonts w:ascii="Times New Roman" w:eastAsia="Times New Roman" w:hAnsi="Times New Roman" w:cs="B Lotus"/>
          <w:sz w:val="28"/>
          <w:szCs w:val="28"/>
          <w:lang w:bidi="ar-SA"/>
        </w:rPr>
        <w:t>.</w:t>
      </w:r>
    </w:p>
    <w:p w14:paraId="074255D1"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محمد نسل، غلامرضا </w:t>
      </w:r>
      <w:r w:rsidRPr="000D46FD">
        <w:rPr>
          <w:rFonts w:ascii="Times New Roman" w:eastAsia="Times New Roman" w:hAnsi="Times New Roman" w:cs="B Lotus"/>
          <w:sz w:val="28"/>
          <w:szCs w:val="28"/>
          <w:lang w:bidi="ar-SA"/>
        </w:rPr>
        <w:t>(1397). "</w:t>
      </w:r>
      <w:r w:rsidRPr="000D46FD">
        <w:rPr>
          <w:rFonts w:ascii="Times New Roman" w:eastAsia="Times New Roman" w:hAnsi="Times New Roman" w:cs="B Lotus"/>
          <w:sz w:val="28"/>
          <w:szCs w:val="28"/>
          <w:rtl/>
          <w:lang w:bidi="ar-SA"/>
        </w:rPr>
        <w:t>پلیس و سیاست پیشگیری از جرم." تهران: دفتر تحقیقات کاربردی پلیس پیشگیری ناجا</w:t>
      </w:r>
      <w:r w:rsidRPr="000D46FD">
        <w:rPr>
          <w:rFonts w:ascii="Times New Roman" w:eastAsia="Times New Roman" w:hAnsi="Times New Roman" w:cs="B Lotus"/>
          <w:sz w:val="28"/>
          <w:szCs w:val="28"/>
          <w:lang w:bidi="ar-SA"/>
        </w:rPr>
        <w:t>.</w:t>
      </w:r>
    </w:p>
    <w:p w14:paraId="16E2DC24"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معظمی، شهلا </w:t>
      </w:r>
      <w:r w:rsidRPr="000D46FD">
        <w:rPr>
          <w:rFonts w:ascii="Times New Roman" w:eastAsia="Times New Roman" w:hAnsi="Times New Roman" w:cs="B Lotus"/>
          <w:sz w:val="28"/>
          <w:szCs w:val="28"/>
          <w:lang w:bidi="ar-SA"/>
        </w:rPr>
        <w:t>(1393). "</w:t>
      </w:r>
      <w:r w:rsidRPr="000D46FD">
        <w:rPr>
          <w:rFonts w:ascii="Times New Roman" w:eastAsia="Times New Roman" w:hAnsi="Times New Roman" w:cs="B Lotus"/>
          <w:sz w:val="28"/>
          <w:szCs w:val="28"/>
          <w:rtl/>
          <w:lang w:bidi="ar-SA"/>
        </w:rPr>
        <w:t>حمایت از زنان در برابر خشونت‌های خانوادگی." فصلنامه رفاه اجتماعی، سال سوم</w:t>
      </w:r>
      <w:r w:rsidRPr="000D46FD">
        <w:rPr>
          <w:rFonts w:ascii="Times New Roman" w:eastAsia="Times New Roman" w:hAnsi="Times New Roman" w:cs="B Lotus"/>
          <w:sz w:val="28"/>
          <w:szCs w:val="28"/>
          <w:lang w:bidi="ar-SA"/>
        </w:rPr>
        <w:t>.</w:t>
      </w:r>
    </w:p>
    <w:p w14:paraId="182400CF"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محمودی، آسیه </w:t>
      </w:r>
      <w:r w:rsidRPr="000D46FD">
        <w:rPr>
          <w:rFonts w:ascii="Times New Roman" w:eastAsia="Times New Roman" w:hAnsi="Times New Roman" w:cs="B Lotus"/>
          <w:sz w:val="28"/>
          <w:szCs w:val="28"/>
          <w:lang w:bidi="ar-SA"/>
        </w:rPr>
        <w:t>(1392). "</w:t>
      </w:r>
      <w:r w:rsidRPr="000D46FD">
        <w:rPr>
          <w:rFonts w:ascii="Times New Roman" w:eastAsia="Times New Roman" w:hAnsi="Times New Roman" w:cs="B Lotus"/>
          <w:sz w:val="28"/>
          <w:szCs w:val="28"/>
          <w:rtl/>
          <w:lang w:bidi="ar-SA"/>
        </w:rPr>
        <w:t>بررسی جایگاه بزه دیده در آیین دادرسی کیفری ایران و اسناد بین المللی." کار تحقیقی کارشناسی حقوق</w:t>
      </w:r>
      <w:r w:rsidRPr="000D46FD">
        <w:rPr>
          <w:rFonts w:ascii="Times New Roman" w:eastAsia="Times New Roman" w:hAnsi="Times New Roman" w:cs="B Lotus"/>
          <w:sz w:val="28"/>
          <w:szCs w:val="28"/>
          <w:lang w:bidi="ar-SA"/>
        </w:rPr>
        <w:t>.</w:t>
      </w:r>
    </w:p>
    <w:p w14:paraId="383FD3BA"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نجفی ابرندآبادی، علی حسین </w:t>
      </w:r>
      <w:r w:rsidRPr="000D46FD">
        <w:rPr>
          <w:rFonts w:ascii="Times New Roman" w:eastAsia="Times New Roman" w:hAnsi="Times New Roman" w:cs="B Lotus"/>
          <w:sz w:val="28"/>
          <w:szCs w:val="28"/>
          <w:lang w:bidi="ar-SA"/>
        </w:rPr>
        <w:t>(1394). "</w:t>
      </w:r>
      <w:r w:rsidRPr="000D46FD">
        <w:rPr>
          <w:rFonts w:ascii="Times New Roman" w:eastAsia="Times New Roman" w:hAnsi="Times New Roman" w:cs="B Lotus"/>
          <w:sz w:val="28"/>
          <w:szCs w:val="28"/>
          <w:rtl/>
          <w:lang w:bidi="ar-SA"/>
        </w:rPr>
        <w:t>میزگرد «عدالت برای بزه دیدگان»." مجله حقوقی دادگستری</w:t>
      </w:r>
      <w:r w:rsidRPr="000D46FD">
        <w:rPr>
          <w:rFonts w:ascii="Times New Roman" w:eastAsia="Times New Roman" w:hAnsi="Times New Roman" w:cs="B Lotus"/>
          <w:sz w:val="28"/>
          <w:szCs w:val="28"/>
          <w:lang w:bidi="ar-SA"/>
        </w:rPr>
        <w:t>.</w:t>
      </w:r>
    </w:p>
    <w:p w14:paraId="03AA47D6" w14:textId="77777777"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lastRenderedPageBreak/>
        <w:t xml:space="preserve">نجفی ابراندآبادی، علی حسین و حمید هاشم بیگی </w:t>
      </w:r>
      <w:r w:rsidRPr="000D46FD">
        <w:rPr>
          <w:rFonts w:ascii="Times New Roman" w:eastAsia="Times New Roman" w:hAnsi="Times New Roman" w:cs="B Lotus"/>
          <w:sz w:val="28"/>
          <w:szCs w:val="28"/>
          <w:lang w:bidi="ar-SA"/>
        </w:rPr>
        <w:t>(1397). "</w:t>
      </w:r>
      <w:r w:rsidRPr="000D46FD">
        <w:rPr>
          <w:rFonts w:ascii="Times New Roman" w:eastAsia="Times New Roman" w:hAnsi="Times New Roman" w:cs="B Lotus"/>
          <w:sz w:val="28"/>
          <w:szCs w:val="28"/>
          <w:rtl/>
          <w:lang w:bidi="ar-SA"/>
        </w:rPr>
        <w:t>دانشنامه جرم شناسی." انتشارات دانشگاه شهید بهشتی با همکاری کتابخانه گنج دانش</w:t>
      </w:r>
      <w:r w:rsidRPr="000D46FD">
        <w:rPr>
          <w:rFonts w:ascii="Times New Roman" w:eastAsia="Times New Roman" w:hAnsi="Times New Roman" w:cs="B Lotus"/>
          <w:sz w:val="28"/>
          <w:szCs w:val="28"/>
          <w:lang w:bidi="ar-SA"/>
        </w:rPr>
        <w:t>.</w:t>
      </w:r>
    </w:p>
    <w:p w14:paraId="3692983C" w14:textId="77777777" w:rsid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 xml:space="preserve">نیکوئی، سمیه </w:t>
      </w:r>
      <w:r w:rsidRPr="000D46FD">
        <w:rPr>
          <w:rFonts w:ascii="Times New Roman" w:eastAsia="Times New Roman" w:hAnsi="Times New Roman" w:cs="B Lotus"/>
          <w:sz w:val="28"/>
          <w:szCs w:val="28"/>
          <w:lang w:bidi="ar-SA"/>
        </w:rPr>
        <w:t>(1385). "</w:t>
      </w:r>
      <w:r w:rsidRPr="000D46FD">
        <w:rPr>
          <w:rFonts w:ascii="Times New Roman" w:eastAsia="Times New Roman" w:hAnsi="Times New Roman" w:cs="B Lotus"/>
          <w:sz w:val="28"/>
          <w:szCs w:val="28"/>
          <w:rtl/>
          <w:lang w:bidi="ar-SA"/>
        </w:rPr>
        <w:t>الزامات علنی بودن دادرسی کیفری در پرتو دادرسی عادلانه." مجله حقوقی دادگستری</w:t>
      </w:r>
      <w:r w:rsidRPr="000D46FD">
        <w:rPr>
          <w:rFonts w:ascii="Times New Roman" w:eastAsia="Times New Roman" w:hAnsi="Times New Roman" w:cs="B Lotus"/>
          <w:sz w:val="28"/>
          <w:szCs w:val="28"/>
          <w:lang w:bidi="ar-SA"/>
        </w:rPr>
        <w:t>.</w:t>
      </w:r>
    </w:p>
    <w:p w14:paraId="36E30546" w14:textId="3E4E1DEE" w:rsidR="000D46FD" w:rsidRPr="000D46FD" w:rsidRDefault="000D46FD">
      <w:pPr>
        <w:numPr>
          <w:ilvl w:val="0"/>
          <w:numId w:val="2"/>
        </w:numPr>
        <w:spacing w:before="100" w:beforeAutospacing="1" w:after="100" w:afterAutospacing="1" w:line="360" w:lineRule="auto"/>
        <w:jc w:val="both"/>
        <w:rPr>
          <w:rFonts w:ascii="Times New Roman" w:eastAsia="Times New Roman" w:hAnsi="Times New Roman" w:cs="B Lotus"/>
          <w:sz w:val="28"/>
          <w:szCs w:val="28"/>
          <w:lang w:bidi="ar-SA"/>
        </w:rPr>
      </w:pPr>
      <w:r w:rsidRPr="000D46FD">
        <w:rPr>
          <w:rFonts w:ascii="Times New Roman" w:eastAsia="Times New Roman" w:hAnsi="Times New Roman" w:cs="B Lotus"/>
          <w:sz w:val="28"/>
          <w:szCs w:val="28"/>
          <w:rtl/>
          <w:lang w:bidi="ar-SA"/>
        </w:rPr>
        <w:t>هاشملو، ج</w:t>
      </w:r>
      <w:r w:rsidRPr="000D46FD">
        <w:rPr>
          <w:rFonts w:ascii="Times New Roman" w:eastAsia="Times New Roman" w:hAnsi="Times New Roman" w:cs="B Lotus"/>
          <w:sz w:val="28"/>
          <w:szCs w:val="28"/>
          <w:lang w:bidi="ar-SA"/>
        </w:rPr>
        <w:t>. (2020). "</w:t>
      </w:r>
      <w:r w:rsidRPr="000D46FD">
        <w:rPr>
          <w:rFonts w:ascii="Times New Roman" w:eastAsia="Times New Roman" w:hAnsi="Times New Roman" w:cs="B Lotus"/>
          <w:sz w:val="28"/>
          <w:szCs w:val="28"/>
          <w:rtl/>
          <w:lang w:bidi="ar-SA"/>
        </w:rPr>
        <w:t>نظریه جرم شناسی بزه دیده." وبلاگ روانشناسی هاشملو</w:t>
      </w:r>
    </w:p>
    <w:p w14:paraId="4C3B6337" w14:textId="77777777" w:rsidR="000D46FD" w:rsidRDefault="000D46FD" w:rsidP="008206A3">
      <w:pPr>
        <w:spacing w:line="276" w:lineRule="auto"/>
        <w:jc w:val="both"/>
        <w:rPr>
          <w:rFonts w:cs="B Lotus"/>
          <w:b/>
          <w:bCs/>
          <w:sz w:val="28"/>
          <w:szCs w:val="28"/>
          <w:rtl/>
        </w:rPr>
      </w:pPr>
    </w:p>
    <w:p w14:paraId="244A90B4" w14:textId="77777777" w:rsidR="000D46FD" w:rsidRDefault="000D46FD" w:rsidP="008206A3">
      <w:pPr>
        <w:spacing w:line="276" w:lineRule="auto"/>
        <w:jc w:val="both"/>
        <w:rPr>
          <w:rFonts w:cs="B Lotus"/>
          <w:b/>
          <w:bCs/>
          <w:sz w:val="28"/>
          <w:szCs w:val="28"/>
          <w:rtl/>
        </w:rPr>
      </w:pPr>
    </w:p>
    <w:p w14:paraId="58C68DA0" w14:textId="77777777" w:rsidR="000D46FD" w:rsidRDefault="000D46FD" w:rsidP="008206A3">
      <w:pPr>
        <w:spacing w:line="276" w:lineRule="auto"/>
        <w:jc w:val="both"/>
        <w:rPr>
          <w:rFonts w:cs="B Lotus"/>
          <w:b/>
          <w:bCs/>
          <w:sz w:val="28"/>
          <w:szCs w:val="28"/>
          <w:rtl/>
        </w:rPr>
      </w:pPr>
    </w:p>
    <w:p w14:paraId="707CBC60" w14:textId="77777777" w:rsidR="000D46FD" w:rsidRDefault="000D46FD" w:rsidP="008206A3">
      <w:pPr>
        <w:spacing w:line="276" w:lineRule="auto"/>
        <w:jc w:val="both"/>
        <w:rPr>
          <w:rFonts w:cs="B Lotus"/>
          <w:b/>
          <w:bCs/>
          <w:sz w:val="28"/>
          <w:szCs w:val="28"/>
          <w:rtl/>
        </w:rPr>
      </w:pPr>
    </w:p>
    <w:p w14:paraId="311FE7A2" w14:textId="77777777" w:rsidR="000D46FD" w:rsidRDefault="000D46FD" w:rsidP="008206A3">
      <w:pPr>
        <w:spacing w:line="276" w:lineRule="auto"/>
        <w:jc w:val="both"/>
        <w:rPr>
          <w:rFonts w:cs="B Lotus"/>
          <w:b/>
          <w:bCs/>
          <w:sz w:val="28"/>
          <w:szCs w:val="28"/>
          <w:rtl/>
        </w:rPr>
      </w:pPr>
    </w:p>
    <w:p w14:paraId="7403CB12" w14:textId="77777777" w:rsidR="000D46FD" w:rsidRDefault="000D46FD" w:rsidP="008206A3">
      <w:pPr>
        <w:spacing w:line="276" w:lineRule="auto"/>
        <w:jc w:val="both"/>
        <w:rPr>
          <w:rFonts w:cs="B Lotus"/>
          <w:b/>
          <w:bCs/>
          <w:sz w:val="28"/>
          <w:szCs w:val="28"/>
          <w:rtl/>
        </w:rPr>
      </w:pPr>
    </w:p>
    <w:p w14:paraId="1DBD90CA" w14:textId="77777777" w:rsidR="000D46FD" w:rsidRPr="00866D80" w:rsidRDefault="000D46FD" w:rsidP="008206A3">
      <w:pPr>
        <w:spacing w:line="276" w:lineRule="auto"/>
        <w:jc w:val="both"/>
        <w:rPr>
          <w:rFonts w:cs="B Lotus"/>
          <w:b/>
          <w:bCs/>
          <w:sz w:val="28"/>
          <w:szCs w:val="28"/>
        </w:rPr>
      </w:pPr>
    </w:p>
    <w:sectPr w:rsidR="000D46FD" w:rsidRPr="00866D80">
      <w:headerReference w:type="even" r:id="rId19"/>
      <w:headerReference w:type="default" r:id="rId20"/>
      <w:footerReference w:type="even" r:id="rId21"/>
      <w:footerReference w:type="default" r:id="rId22"/>
      <w:headerReference w:type="first" r:id="rId23"/>
      <w:footerReference w:type="first" r:id="rId24"/>
      <w:pgSz w:w="11906" w:h="16838"/>
      <w:pgMar w:top="1435" w:right="1338" w:bottom="1440" w:left="1311" w:header="720" w:footer="709"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492E0" w14:textId="77777777" w:rsidR="000C7F9B" w:rsidRDefault="000C7F9B" w:rsidP="001149A1">
      <w:pPr>
        <w:spacing w:after="0" w:line="240" w:lineRule="auto"/>
      </w:pPr>
      <w:r>
        <w:separator/>
      </w:r>
    </w:p>
  </w:endnote>
  <w:endnote w:type="continuationSeparator" w:id="0">
    <w:p w14:paraId="45558DBD" w14:textId="77777777" w:rsidR="000C7F9B" w:rsidRDefault="000C7F9B" w:rsidP="0011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Nazanin">
    <w:altName w:val="Times New Roman"/>
    <w:panose1 w:val="00000000000000000000"/>
    <w:charset w:val="00"/>
    <w:family w:val="roman"/>
    <w:notTrueType/>
    <w:pitch w:val="default"/>
  </w:font>
  <w:font w:name="BYekan">
    <w:altName w:val="Times New Roman"/>
    <w:panose1 w:val="00000000000000000000"/>
    <w:charset w:val="B2"/>
    <w:family w:val="auto"/>
    <w:notTrueType/>
    <w:pitch w:val="default"/>
    <w:sig w:usb0="00002000" w:usb1="00000000" w:usb2="00000000" w:usb3="00000000" w:csb0="00000040" w:csb1="00000000"/>
  </w:font>
  <w:font w:name="BTitrBold">
    <w:altName w:val="Times New Roman"/>
    <w:panose1 w:val="00000000000000000000"/>
    <w:charset w:val="00"/>
    <w:family w:val="roman"/>
    <w:notTrueType/>
    <w:pitch w:val="default"/>
  </w:font>
  <w:font w:name="Zar">
    <w:altName w:val="Courier New"/>
    <w:charset w:val="B2"/>
    <w:family w:val="auto"/>
    <w:pitch w:val="variable"/>
    <w:sig w:usb0="00002001" w:usb1="80000000" w:usb2="00000008" w:usb3="00000000" w:csb0="00000040" w:csb1="00000000"/>
  </w:font>
  <w:font w:name="LotusBold">
    <w:altName w:val="Times New Roman"/>
    <w:panose1 w:val="00000000000000000000"/>
    <w:charset w:val="B2"/>
    <w:family w:val="auto"/>
    <w:notTrueType/>
    <w:pitch w:val="default"/>
    <w:sig w:usb0="00002000" w:usb1="00000000" w:usb2="00000000" w:usb3="00000000" w:csb0="00000040" w:csb1="00000000"/>
  </w:font>
  <w:font w:name="IRANSan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4CA89"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133AEA59" w14:textId="77777777" w:rsidR="00D9558E" w:rsidRDefault="00D9558E">
    <w:pPr>
      <w:bidi w:val="0"/>
      <w:spacing w:after="0"/>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A27D6"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sidR="00B32DAB">
      <w:rPr>
        <w:rFonts w:ascii="Calibri" w:eastAsia="Calibri" w:hAnsi="Calibri" w:cs="Calibri"/>
        <w:noProof/>
      </w:rPr>
      <w:t>1</w:t>
    </w:r>
    <w:r>
      <w:rPr>
        <w:rFonts w:ascii="Calibri" w:eastAsia="Calibri" w:hAnsi="Calibri" w:cs="Calibri"/>
      </w:rPr>
      <w:fldChar w:fldCharType="end"/>
    </w:r>
    <w:r>
      <w:rPr>
        <w:rFonts w:ascii="Calibri" w:eastAsia="Calibri" w:hAnsi="Calibri" w:cs="Calibri"/>
      </w:rPr>
      <w:t xml:space="preserve"> </w:t>
    </w:r>
  </w:p>
  <w:p w14:paraId="51D6E67A" w14:textId="77777777" w:rsidR="00D9558E" w:rsidRDefault="00D9558E">
    <w:pPr>
      <w:bidi w:val="0"/>
      <w:spacing w:after="0"/>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6D210"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4FE56AA1" w14:textId="77777777" w:rsidR="00D9558E" w:rsidRDefault="00D9558E">
    <w:pPr>
      <w:bidi w:val="0"/>
      <w:spacing w:after="0"/>
    </w:pP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A5798" w14:textId="77777777" w:rsidR="000C7F9B" w:rsidRDefault="000C7F9B" w:rsidP="001149A1">
      <w:pPr>
        <w:spacing w:after="0" w:line="240" w:lineRule="auto"/>
      </w:pPr>
      <w:r>
        <w:separator/>
      </w:r>
    </w:p>
  </w:footnote>
  <w:footnote w:type="continuationSeparator" w:id="0">
    <w:p w14:paraId="2E41B9D5" w14:textId="77777777" w:rsidR="000C7F9B" w:rsidRDefault="000C7F9B" w:rsidP="001149A1">
      <w:pPr>
        <w:spacing w:after="0" w:line="240" w:lineRule="auto"/>
      </w:pPr>
      <w:r>
        <w:continuationSeparator/>
      </w:r>
    </w:p>
  </w:footnote>
  <w:footnote w:id="1">
    <w:p w14:paraId="488BFE85" w14:textId="77777777" w:rsidR="00AF3BCA" w:rsidRPr="000D46FD" w:rsidRDefault="00AF3BCA" w:rsidP="000D46FD">
      <w:pPr>
        <w:pStyle w:val="FootnoteText"/>
        <w:widowControl w:val="0"/>
        <w:bidi w:val="0"/>
        <w:ind w:left="-2"/>
        <w:jc w:val="both"/>
        <w:rPr>
          <w:rFonts w:ascii="Times New Roman" w:hAnsi="Times New Roman" w:cs="B Lotus"/>
        </w:rPr>
      </w:pPr>
      <w:r w:rsidRPr="000D46FD">
        <w:rPr>
          <w:rStyle w:val="FootnoteReference"/>
          <w:rFonts w:ascii="Times New Roman" w:hAnsi="Times New Roman" w:cs="B Lotus"/>
        </w:rPr>
        <w:footnoteRef/>
      </w:r>
      <w:r w:rsidRPr="000D46FD">
        <w:rPr>
          <w:rFonts w:ascii="Times New Roman" w:hAnsi="Times New Roman" w:cs="B Lotus"/>
          <w:rtl/>
        </w:rPr>
        <w:t xml:space="preserve"> </w:t>
      </w:r>
      <w:proofErr w:type="spellStart"/>
      <w:r w:rsidRPr="000D46FD">
        <w:rPr>
          <w:rFonts w:ascii="Times New Roman" w:hAnsi="Times New Roman" w:cs="B Lotus"/>
          <w:lang w:val="fr-FR"/>
        </w:rPr>
        <w:t>Crimevictim</w:t>
      </w:r>
      <w:proofErr w:type="spellEnd"/>
    </w:p>
  </w:footnote>
  <w:footnote w:id="2">
    <w:p w14:paraId="3DB00623" w14:textId="77777777" w:rsidR="00AF3BCA" w:rsidRPr="000D46FD" w:rsidRDefault="00AF3BCA" w:rsidP="000D46FD">
      <w:pPr>
        <w:pStyle w:val="FootnoteText"/>
        <w:widowControl w:val="0"/>
        <w:bidi w:val="0"/>
        <w:ind w:left="-2"/>
        <w:jc w:val="both"/>
        <w:rPr>
          <w:rFonts w:ascii="Times New Roman" w:hAnsi="Times New Roman" w:cs="B Lotus"/>
        </w:rPr>
      </w:pPr>
      <w:r w:rsidRPr="000D46FD">
        <w:rPr>
          <w:rStyle w:val="FootnoteReference"/>
          <w:rFonts w:ascii="Times New Roman" w:hAnsi="Times New Roman" w:cs="B Lotus"/>
        </w:rPr>
        <w:footnoteRef/>
      </w:r>
      <w:r w:rsidRPr="000D46FD">
        <w:rPr>
          <w:rFonts w:ascii="Times New Roman" w:hAnsi="Times New Roman" w:cs="B Lotus"/>
          <w:rtl/>
        </w:rPr>
        <w:t xml:space="preserve"> </w:t>
      </w:r>
      <w:proofErr w:type="spellStart"/>
      <w:proofErr w:type="gramStart"/>
      <w:r w:rsidRPr="000D46FD">
        <w:rPr>
          <w:rFonts w:ascii="Times New Roman" w:hAnsi="Times New Roman" w:cs="B Lotus"/>
          <w:lang w:val="fr-FR"/>
        </w:rPr>
        <w:t>delinquentcy</w:t>
      </w:r>
      <w:proofErr w:type="spellEnd"/>
      <w:proofErr w:type="gramEnd"/>
    </w:p>
  </w:footnote>
  <w:footnote w:id="3">
    <w:p w14:paraId="24E8540B" w14:textId="77777777" w:rsidR="00AF3BCA" w:rsidRPr="000D46FD" w:rsidRDefault="00AF3BCA" w:rsidP="000D46FD">
      <w:pPr>
        <w:pStyle w:val="FootnoteText"/>
        <w:widowControl w:val="0"/>
        <w:ind w:left="-2"/>
        <w:jc w:val="both"/>
        <w:rPr>
          <w:rFonts w:ascii="Times New Roman" w:hAnsi="Times New Roman" w:cs="B Lotus"/>
        </w:rPr>
      </w:pPr>
      <w:r w:rsidRPr="000D46FD">
        <w:rPr>
          <w:rStyle w:val="FootnoteReference"/>
          <w:rFonts w:ascii="Times New Roman" w:hAnsi="Times New Roman" w:cs="B Lotus"/>
        </w:rPr>
        <w:footnoteRef/>
      </w:r>
      <w:r w:rsidRPr="000D46FD">
        <w:rPr>
          <w:rFonts w:ascii="Times New Roman" w:hAnsi="Times New Roman" w:cs="B Lotus"/>
          <w:rtl/>
        </w:rPr>
        <w:t xml:space="preserve"> </w:t>
      </w:r>
      <w:r w:rsidRPr="000D46FD">
        <w:rPr>
          <w:rFonts w:ascii="Times New Roman" w:hAnsi="Times New Roman" w:cs="B Lotus" w:hint="cs"/>
          <w:rtl/>
          <w:lang w:val="fr-FR"/>
        </w:rPr>
        <w:t>شریعت باقری، محمد جواد (1377). نگاهی به اسانامه دیوان کیفری بین المللی، فصلنامه دیدگاه های حقوقی، شماره 12</w:t>
      </w:r>
      <w:r w:rsidRPr="000D46FD">
        <w:rPr>
          <w:rFonts w:ascii="Times New Roman" w:hAnsi="Times New Roman" w:cs="B Lotus" w:hint="cs"/>
          <w:rtl/>
        </w:rPr>
        <w:t>.</w:t>
      </w:r>
    </w:p>
  </w:footnote>
  <w:footnote w:id="4">
    <w:p w14:paraId="7FECEFFA" w14:textId="77777777" w:rsidR="00AF3BCA" w:rsidRPr="000D46FD" w:rsidRDefault="00AF3BCA" w:rsidP="000D46FD">
      <w:pPr>
        <w:pStyle w:val="FootnoteText"/>
        <w:widowControl w:val="0"/>
        <w:ind w:left="-2"/>
        <w:jc w:val="both"/>
        <w:rPr>
          <w:rFonts w:ascii="Times New Roman" w:hAnsi="Times New Roman" w:cs="B Lotus"/>
        </w:rPr>
      </w:pPr>
      <w:r w:rsidRPr="000D46FD">
        <w:rPr>
          <w:rFonts w:ascii="Times New Roman" w:hAnsi="Times New Roman" w:cs="B Lotus"/>
        </w:rPr>
        <w:footnoteRef/>
      </w:r>
      <w:r w:rsidRPr="000D46FD">
        <w:rPr>
          <w:rFonts w:ascii="Times New Roman" w:hAnsi="Times New Roman" w:cs="B Lotus"/>
          <w:rtl/>
        </w:rPr>
        <w:t xml:space="preserve"> </w:t>
      </w:r>
      <w:r w:rsidRPr="000D46FD">
        <w:rPr>
          <w:rFonts w:ascii="Times New Roman" w:hAnsi="Times New Roman" w:cs="B Lotus" w:hint="cs"/>
          <w:rtl/>
          <w:lang w:val="fr-FR"/>
        </w:rPr>
        <w:t>خراسانی، مجتبی (1384). بررسی علل بزهکاری جوانان در استان گلستان، پایانامه ارشد دانشگاه حقوق گلستان</w:t>
      </w:r>
      <w:r w:rsidRPr="000D46FD">
        <w:rPr>
          <w:rFonts w:ascii="Times New Roman" w:hAnsi="Times New Roman" w:cs="B Lotus" w:hint="cs"/>
          <w:rtl/>
        </w:rPr>
        <w:t>.</w:t>
      </w:r>
    </w:p>
  </w:footnote>
  <w:footnote w:id="5">
    <w:p w14:paraId="405BC0A6" w14:textId="786F8CAE" w:rsidR="008206A3" w:rsidRPr="000D46FD" w:rsidRDefault="008206A3" w:rsidP="000D46FD">
      <w:pPr>
        <w:spacing w:before="100" w:beforeAutospacing="1" w:after="100" w:afterAutospacing="1" w:line="240" w:lineRule="auto"/>
        <w:jc w:val="both"/>
        <w:rPr>
          <w:rFonts w:ascii="Times New Roman" w:eastAsia="Times New Roman" w:hAnsi="Times New Roman" w:cs="B Lotus"/>
          <w:sz w:val="20"/>
          <w:szCs w:val="20"/>
          <w:lang w:bidi="ar-SA"/>
        </w:rPr>
      </w:pPr>
      <w:r w:rsidRPr="000D46FD">
        <w:rPr>
          <w:rStyle w:val="FootnoteReference"/>
          <w:rFonts w:cs="B Lotus"/>
          <w:sz w:val="20"/>
          <w:szCs w:val="20"/>
        </w:rPr>
        <w:footnoteRef/>
      </w:r>
      <w:r w:rsidRPr="000D46FD">
        <w:rPr>
          <w:rFonts w:cs="B Lotus"/>
          <w:sz w:val="20"/>
          <w:szCs w:val="20"/>
          <w:rtl/>
        </w:rPr>
        <w:t xml:space="preserve"> </w:t>
      </w:r>
      <w:r w:rsidRPr="000D46FD">
        <w:rPr>
          <w:rFonts w:ascii="Times New Roman" w:eastAsia="Times New Roman" w:hAnsi="Times New Roman" w:cs="B Lotus"/>
          <w:sz w:val="20"/>
          <w:szCs w:val="20"/>
          <w:rtl/>
          <w:lang w:bidi="ar-SA"/>
        </w:rPr>
        <w:t>هاشملو، ج. (2020). نظریه جرم شناسی بزه دیده. وبلاگ روانشناسی هاشملو</w:t>
      </w:r>
      <w:r w:rsidRPr="000D46FD">
        <w:rPr>
          <w:rFonts w:ascii="Times New Roman" w:eastAsia="Times New Roman" w:hAnsi="Times New Roman" w:cs="B Lotus"/>
          <w:sz w:val="20"/>
          <w:szCs w:val="20"/>
          <w:lang w:bidi="ar-SA"/>
        </w:rPr>
        <w:t>.</w:t>
      </w:r>
    </w:p>
  </w:footnote>
  <w:footnote w:id="6">
    <w:p w14:paraId="642F877C"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نیکوئی، سمیه(1385) الزامات علنی بودن دادرسی کیفری در پرتو دادرسی عادلانه، مجله حقوقی دادگستری، شماره 57-56.</w:t>
      </w:r>
    </w:p>
  </w:footnote>
  <w:footnote w:id="7">
    <w:p w14:paraId="0E6D9BC2"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 xml:space="preserve">نجفی ابرندآبادی، علی حسین( 1394)میزگرد«عدالت برای بزه دیدگان»، مجله حقوقی دادگستری، </w:t>
      </w:r>
    </w:p>
  </w:footnote>
  <w:footnote w:id="8">
    <w:p w14:paraId="1DFD10AF"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توجهی، عبدالعلی، اندیشه حمایت از بزه دیدگان و جایگاه آن در گستره جهانی و سیاست جنائی تقنینی ایران، تهران، منتشر شده در « مجموعه علوم جنائی، مجموعه مقالات در تجلیل از استاد دکتر محمد آشوری»،انتشارات سمت، 1398،  ص 622.</w:t>
      </w:r>
    </w:p>
  </w:footnote>
  <w:footnote w:id="9">
    <w:p w14:paraId="126090B0" w14:textId="6A74E179"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ascii="Times New Roman" w:hAnsi="Times New Roman" w:cs="B Lotus"/>
          <w:rtl/>
        </w:rPr>
        <w:t>نجفی ابراندآبادی</w:t>
      </w:r>
      <w:r w:rsidRPr="000D46FD">
        <w:rPr>
          <w:rFonts w:ascii="Times New Roman" w:hAnsi="Times New Roman" w:cs="B Lotus" w:hint="cs"/>
          <w:rtl/>
        </w:rPr>
        <w:t>،</w:t>
      </w:r>
      <w:r w:rsidRPr="000D46FD">
        <w:rPr>
          <w:rFonts w:ascii="Times New Roman" w:hAnsi="Times New Roman" w:cs="B Lotus"/>
          <w:rtl/>
        </w:rPr>
        <w:t xml:space="preserve"> </w:t>
      </w:r>
      <w:r w:rsidRPr="000D46FD">
        <w:rPr>
          <w:rFonts w:cs="B Lotus" w:hint="cs"/>
          <w:rtl/>
        </w:rPr>
        <w:t>علی حسین</w:t>
      </w:r>
      <w:r w:rsidRPr="000D46FD">
        <w:rPr>
          <w:rFonts w:ascii="Times New Roman" w:hAnsi="Times New Roman" w:cs="B Lotus"/>
          <w:rtl/>
        </w:rPr>
        <w:t xml:space="preserve"> و حمید هاشم بیگی</w:t>
      </w:r>
      <w:r w:rsidRPr="000D46FD">
        <w:rPr>
          <w:rFonts w:ascii="Times New Roman" w:hAnsi="Times New Roman" w:cs="B Lotus" w:hint="cs"/>
          <w:rtl/>
        </w:rPr>
        <w:t>(1397)</w:t>
      </w:r>
      <w:r w:rsidRPr="000D46FD">
        <w:rPr>
          <w:rFonts w:ascii="Times New Roman" w:hAnsi="Times New Roman" w:cs="B Lotus"/>
          <w:rtl/>
        </w:rPr>
        <w:t xml:space="preserve"> دانشنامه جرم شناسی ، انتشارات دانشگاه شهید بهشتی با همکاری کتابخانه گنج دانش</w:t>
      </w:r>
      <w:r w:rsidRPr="000D46FD">
        <w:rPr>
          <w:rFonts w:ascii="Times New Roman" w:hAnsi="Times New Roman" w:cs="B Lotus" w:hint="cs"/>
          <w:rtl/>
        </w:rPr>
        <w:t>.</w:t>
      </w:r>
    </w:p>
  </w:footnote>
  <w:footnote w:id="10">
    <w:p w14:paraId="1D9B68CF"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معظمی، شهلا(1393)، حمایت از زنان در برابر خشونت های خانوادگی، فصلنامه رفاه اجتماعی، سال سوم،ص 242.</w:t>
      </w:r>
    </w:p>
  </w:footnote>
  <w:footnote w:id="11">
    <w:p w14:paraId="6E10A1DE"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ascii="Calibri" w:eastAsia="Calibri" w:hAnsi="Calibri" w:cs="B Lotus" w:hint="cs"/>
          <w:rtl/>
          <w14:shadow w14:blurRad="50800" w14:dist="38100" w14:dir="2700000" w14:sx="100000" w14:sy="100000" w14:kx="0" w14:ky="0" w14:algn="tl">
            <w14:srgbClr w14:val="000000">
              <w14:alpha w14:val="60000"/>
            </w14:srgbClr>
          </w14:shadow>
        </w:rPr>
        <w:t>محمودی</w:t>
      </w:r>
      <w:r w:rsidRPr="000D46FD">
        <w:rPr>
          <w:rFonts w:cs="B Lotus" w:hint="cs"/>
          <w:rtl/>
          <w14:shadow w14:blurRad="50800" w14:dist="38100" w14:dir="2700000" w14:sx="100000" w14:sy="100000" w14:kx="0" w14:ky="0" w14:algn="tl">
            <w14:srgbClr w14:val="000000">
              <w14:alpha w14:val="60000"/>
            </w14:srgbClr>
          </w14:shadow>
        </w:rPr>
        <w:t xml:space="preserve">، </w:t>
      </w:r>
      <w:r w:rsidRPr="000D46FD">
        <w:rPr>
          <w:rFonts w:ascii="Calibri" w:eastAsia="Calibri" w:hAnsi="Calibri" w:cs="B Lotus" w:hint="cs"/>
          <w:rtl/>
          <w14:shadow w14:blurRad="50800" w14:dist="38100" w14:dir="2700000" w14:sx="100000" w14:sy="100000" w14:kx="0" w14:ky="0" w14:algn="tl">
            <w14:srgbClr w14:val="000000">
              <w14:alpha w14:val="60000"/>
            </w14:srgbClr>
          </w14:shadow>
        </w:rPr>
        <w:t>آسیه</w:t>
      </w:r>
      <w:r w:rsidRPr="000D46FD">
        <w:rPr>
          <w:rFonts w:cs="B Lotus" w:hint="cs"/>
          <w:rtl/>
          <w14:shadow w14:blurRad="50800" w14:dist="38100" w14:dir="2700000" w14:sx="100000" w14:sy="100000" w14:kx="0" w14:ky="0" w14:algn="tl">
            <w14:srgbClr w14:val="000000">
              <w14:alpha w14:val="60000"/>
            </w14:srgbClr>
          </w14:shadow>
        </w:rPr>
        <w:t>(1392)،</w:t>
      </w:r>
      <w:r w:rsidRPr="000D46FD">
        <w:rPr>
          <w:rFonts w:ascii="Calibri" w:eastAsia="Calibri" w:hAnsi="Calibri" w:cs="B Lotus" w:hint="cs"/>
          <w:rtl/>
          <w14:shadow w14:blurRad="50800" w14:dist="38100" w14:dir="2700000" w14:sx="100000" w14:sy="100000" w14:kx="0" w14:ky="0" w14:algn="tl">
            <w14:srgbClr w14:val="000000">
              <w14:alpha w14:val="60000"/>
            </w14:srgbClr>
          </w14:shadow>
        </w:rPr>
        <w:t xml:space="preserve"> </w:t>
      </w:r>
      <w:r w:rsidRPr="000D46FD">
        <w:rPr>
          <w:rFonts w:ascii="Calibri" w:eastAsia="Calibri" w:hAnsi="Calibri" w:cs="B Lotus" w:hint="cs"/>
          <w:rtl/>
        </w:rPr>
        <w:t>بررسی جایگاه بزه دیده در آیین دادرسی کیفری ایران و اسناد بین المللی</w:t>
      </w:r>
      <w:r w:rsidRPr="000D46FD">
        <w:rPr>
          <w:rFonts w:cs="B Lotus" w:hint="cs"/>
          <w:rtl/>
        </w:rPr>
        <w:t xml:space="preserve">، کار تحقیقی کارشناسی </w:t>
      </w:r>
      <w:r w:rsidRPr="000D46FD">
        <w:rPr>
          <w:rFonts w:ascii="Calibri" w:eastAsia="Calibri" w:hAnsi="Calibri" w:cs="B Lotus" w:hint="cs"/>
          <w:rtl/>
        </w:rPr>
        <w:t>حقوق</w:t>
      </w:r>
      <w:r w:rsidRPr="000D46FD">
        <w:rPr>
          <w:rFonts w:cs="B Lotus" w:hint="cs"/>
          <w:rtl/>
        </w:rPr>
        <w:t>.</w:t>
      </w:r>
    </w:p>
  </w:footnote>
  <w:footnote w:id="12">
    <w:p w14:paraId="0F1EA53B" w14:textId="77777777" w:rsidR="000A5E92" w:rsidRPr="000D46FD" w:rsidRDefault="000A5E92" w:rsidP="000D46FD">
      <w:pPr>
        <w:autoSpaceDE w:val="0"/>
        <w:autoSpaceDN w:val="0"/>
        <w:adjustRightInd w:val="0"/>
        <w:spacing w:after="0" w:line="240" w:lineRule="auto"/>
        <w:jc w:val="both"/>
        <w:rPr>
          <w:rFonts w:ascii="BNazanin" w:cs="B Lotus"/>
          <w:sz w:val="20"/>
          <w:szCs w:val="20"/>
          <w:rtl/>
        </w:rPr>
      </w:pPr>
      <w:r w:rsidRPr="000D46FD">
        <w:rPr>
          <w:rStyle w:val="FootnoteReference"/>
          <w:rFonts w:cs="B Lotus"/>
          <w:sz w:val="20"/>
          <w:szCs w:val="20"/>
        </w:rPr>
        <w:footnoteRef/>
      </w:r>
      <w:r w:rsidRPr="000D46FD">
        <w:rPr>
          <w:rFonts w:cs="B Lotus"/>
          <w:sz w:val="20"/>
          <w:szCs w:val="20"/>
        </w:rPr>
        <w:t xml:space="preserve"> </w:t>
      </w:r>
      <w:r w:rsidRPr="000D46FD">
        <w:rPr>
          <w:rFonts w:ascii="BNazanin" w:cs="B Lotus" w:hint="cs"/>
          <w:sz w:val="20"/>
          <w:szCs w:val="20"/>
          <w:rtl/>
        </w:rPr>
        <w:t>محمد</w:t>
      </w:r>
      <w:r w:rsidRPr="000D46FD">
        <w:rPr>
          <w:rFonts w:ascii="BNazanin" w:cs="B Lotus"/>
          <w:sz w:val="20"/>
          <w:szCs w:val="20"/>
        </w:rPr>
        <w:t xml:space="preserve"> </w:t>
      </w:r>
      <w:r w:rsidRPr="000D46FD">
        <w:rPr>
          <w:rFonts w:ascii="BNazanin" w:cs="B Lotus" w:hint="cs"/>
          <w:sz w:val="20"/>
          <w:szCs w:val="20"/>
          <w:rtl/>
        </w:rPr>
        <w:t>نسل،</w:t>
      </w:r>
      <w:r w:rsidRPr="000D46FD">
        <w:rPr>
          <w:rFonts w:ascii="BNazanin" w:cs="B Lotus"/>
          <w:sz w:val="20"/>
          <w:szCs w:val="20"/>
        </w:rPr>
        <w:t xml:space="preserve"> </w:t>
      </w:r>
      <w:r w:rsidRPr="000D46FD">
        <w:rPr>
          <w:rFonts w:ascii="BNazanin" w:cs="B Lotus" w:hint="cs"/>
          <w:sz w:val="20"/>
          <w:szCs w:val="20"/>
          <w:rtl/>
        </w:rPr>
        <w:t>غلامرضا(1397)،</w:t>
      </w:r>
      <w:r w:rsidRPr="000D46FD">
        <w:rPr>
          <w:rFonts w:ascii="BNazanin" w:cs="B Lotus"/>
          <w:sz w:val="20"/>
          <w:szCs w:val="20"/>
        </w:rPr>
        <w:t xml:space="preserve"> </w:t>
      </w:r>
      <w:r w:rsidRPr="000D46FD">
        <w:rPr>
          <w:rFonts w:ascii="BNazanin" w:cs="B Lotus" w:hint="cs"/>
          <w:sz w:val="20"/>
          <w:szCs w:val="20"/>
          <w:rtl/>
        </w:rPr>
        <w:t>پليس</w:t>
      </w:r>
      <w:r w:rsidRPr="000D46FD">
        <w:rPr>
          <w:rFonts w:ascii="BNazanin" w:cs="B Lotus"/>
          <w:sz w:val="20"/>
          <w:szCs w:val="20"/>
        </w:rPr>
        <w:t xml:space="preserve"> </w:t>
      </w:r>
      <w:r w:rsidRPr="000D46FD">
        <w:rPr>
          <w:rFonts w:ascii="BNazanin" w:cs="B Lotus" w:hint="cs"/>
          <w:sz w:val="20"/>
          <w:szCs w:val="20"/>
          <w:rtl/>
        </w:rPr>
        <w:t>و</w:t>
      </w:r>
      <w:r w:rsidRPr="000D46FD">
        <w:rPr>
          <w:rFonts w:ascii="BNazanin" w:cs="B Lotus"/>
          <w:sz w:val="20"/>
          <w:szCs w:val="20"/>
        </w:rPr>
        <w:t xml:space="preserve"> </w:t>
      </w:r>
      <w:r w:rsidRPr="000D46FD">
        <w:rPr>
          <w:rFonts w:ascii="BNazanin" w:cs="B Lotus" w:hint="cs"/>
          <w:sz w:val="20"/>
          <w:szCs w:val="20"/>
          <w:rtl/>
        </w:rPr>
        <w:t>سياست</w:t>
      </w:r>
      <w:r w:rsidRPr="000D46FD">
        <w:rPr>
          <w:rFonts w:ascii="BNazanin" w:cs="B Lotus"/>
          <w:sz w:val="20"/>
          <w:szCs w:val="20"/>
        </w:rPr>
        <w:t xml:space="preserve"> </w:t>
      </w:r>
      <w:r w:rsidRPr="000D46FD">
        <w:rPr>
          <w:rFonts w:ascii="BNazanin" w:cs="B Lotus" w:hint="cs"/>
          <w:sz w:val="20"/>
          <w:szCs w:val="20"/>
          <w:rtl/>
        </w:rPr>
        <w:t>پيشگيري</w:t>
      </w:r>
      <w:r w:rsidRPr="000D46FD">
        <w:rPr>
          <w:rFonts w:ascii="BNazanin" w:cs="B Lotus"/>
          <w:sz w:val="20"/>
          <w:szCs w:val="20"/>
        </w:rPr>
        <w:t xml:space="preserve"> </w:t>
      </w:r>
      <w:r w:rsidRPr="000D46FD">
        <w:rPr>
          <w:rFonts w:ascii="BNazanin" w:cs="B Lotus" w:hint="cs"/>
          <w:sz w:val="20"/>
          <w:szCs w:val="20"/>
          <w:rtl/>
        </w:rPr>
        <w:t>از</w:t>
      </w:r>
      <w:r w:rsidRPr="000D46FD">
        <w:rPr>
          <w:rFonts w:ascii="BNazanin" w:cs="B Lotus"/>
          <w:sz w:val="20"/>
          <w:szCs w:val="20"/>
        </w:rPr>
        <w:t xml:space="preserve"> </w:t>
      </w:r>
      <w:r w:rsidRPr="000D46FD">
        <w:rPr>
          <w:rFonts w:ascii="BNazanin" w:cs="B Lotus" w:hint="cs"/>
          <w:sz w:val="20"/>
          <w:szCs w:val="20"/>
          <w:rtl/>
        </w:rPr>
        <w:t>جرم،</w:t>
      </w:r>
      <w:r w:rsidRPr="000D46FD">
        <w:rPr>
          <w:rFonts w:ascii="BNazanin" w:cs="B Lotus"/>
          <w:sz w:val="20"/>
          <w:szCs w:val="20"/>
        </w:rPr>
        <w:t xml:space="preserve"> </w:t>
      </w:r>
      <w:r w:rsidRPr="000D46FD">
        <w:rPr>
          <w:rFonts w:ascii="BNazanin" w:cs="B Lotus" w:hint="cs"/>
          <w:sz w:val="20"/>
          <w:szCs w:val="20"/>
          <w:rtl/>
        </w:rPr>
        <w:t>تهران،</w:t>
      </w:r>
      <w:r w:rsidRPr="000D46FD">
        <w:rPr>
          <w:rFonts w:ascii="BNazanin" w:cs="B Lotus"/>
          <w:sz w:val="20"/>
          <w:szCs w:val="20"/>
        </w:rPr>
        <w:t xml:space="preserve"> </w:t>
      </w:r>
      <w:r w:rsidRPr="000D46FD">
        <w:rPr>
          <w:rFonts w:ascii="BNazanin" w:cs="B Lotus" w:hint="cs"/>
          <w:sz w:val="20"/>
          <w:szCs w:val="20"/>
          <w:rtl/>
        </w:rPr>
        <w:t>دفترتحقيقات</w:t>
      </w:r>
      <w:r w:rsidRPr="000D46FD">
        <w:rPr>
          <w:rFonts w:ascii="BNazanin" w:cs="B Lotus"/>
          <w:sz w:val="20"/>
          <w:szCs w:val="20"/>
        </w:rPr>
        <w:t xml:space="preserve"> </w:t>
      </w:r>
      <w:r w:rsidRPr="000D46FD">
        <w:rPr>
          <w:rFonts w:ascii="BNazanin" w:cs="B Lotus" w:hint="cs"/>
          <w:sz w:val="20"/>
          <w:szCs w:val="20"/>
          <w:rtl/>
        </w:rPr>
        <w:t>كاربردي</w:t>
      </w:r>
      <w:r w:rsidRPr="000D46FD">
        <w:rPr>
          <w:rFonts w:ascii="BNazanin" w:cs="B Lotus"/>
          <w:sz w:val="20"/>
          <w:szCs w:val="20"/>
        </w:rPr>
        <w:t xml:space="preserve"> </w:t>
      </w:r>
      <w:r w:rsidRPr="000D46FD">
        <w:rPr>
          <w:rFonts w:ascii="BNazanin" w:cs="B Lotus" w:hint="cs"/>
          <w:sz w:val="20"/>
          <w:szCs w:val="20"/>
          <w:rtl/>
        </w:rPr>
        <w:t>پليس</w:t>
      </w:r>
      <w:r w:rsidRPr="000D46FD">
        <w:rPr>
          <w:rFonts w:ascii="BNazanin" w:cs="B Lotus"/>
          <w:sz w:val="20"/>
          <w:szCs w:val="20"/>
        </w:rPr>
        <w:t xml:space="preserve"> </w:t>
      </w:r>
      <w:r w:rsidRPr="000D46FD">
        <w:rPr>
          <w:rFonts w:ascii="BNazanin" w:cs="B Lotus" w:hint="cs"/>
          <w:sz w:val="20"/>
          <w:szCs w:val="20"/>
          <w:rtl/>
        </w:rPr>
        <w:t>پيشگيري</w:t>
      </w:r>
      <w:r w:rsidRPr="000D46FD">
        <w:rPr>
          <w:rFonts w:ascii="BNazanin" w:cs="B Lotus"/>
          <w:sz w:val="20"/>
          <w:szCs w:val="20"/>
        </w:rPr>
        <w:t xml:space="preserve"> </w:t>
      </w:r>
      <w:r w:rsidRPr="000D46FD">
        <w:rPr>
          <w:rFonts w:ascii="BNazanin" w:cs="B Lotus" w:hint="cs"/>
          <w:sz w:val="20"/>
          <w:szCs w:val="20"/>
          <w:rtl/>
        </w:rPr>
        <w:t>ناجا.</w:t>
      </w:r>
    </w:p>
    <w:p w14:paraId="25B58B59" w14:textId="77777777" w:rsidR="000A5E92" w:rsidRPr="000D46FD" w:rsidRDefault="000A5E92" w:rsidP="000D46FD">
      <w:pPr>
        <w:pStyle w:val="FootnoteText"/>
        <w:jc w:val="both"/>
        <w:rPr>
          <w:rFonts w:cs="B Lotus"/>
          <w:rtl/>
        </w:rPr>
      </w:pPr>
    </w:p>
  </w:footnote>
  <w:footnote w:id="13">
    <w:p w14:paraId="40AF90AD" w14:textId="77777777" w:rsidR="000A5E92" w:rsidRPr="000D46FD" w:rsidRDefault="000A5E92" w:rsidP="000D46FD">
      <w:pPr>
        <w:autoSpaceDE w:val="0"/>
        <w:autoSpaceDN w:val="0"/>
        <w:adjustRightInd w:val="0"/>
        <w:spacing w:after="0" w:line="240" w:lineRule="auto"/>
        <w:jc w:val="both"/>
        <w:rPr>
          <w:rFonts w:ascii="BYekan" w:cs="B Lotus"/>
          <w:sz w:val="20"/>
          <w:szCs w:val="20"/>
          <w:rtl/>
        </w:rPr>
      </w:pPr>
      <w:r w:rsidRPr="000D46FD">
        <w:rPr>
          <w:rStyle w:val="FootnoteReference"/>
          <w:rFonts w:cs="B Lotus"/>
          <w:sz w:val="20"/>
          <w:szCs w:val="20"/>
        </w:rPr>
        <w:footnoteRef/>
      </w:r>
      <w:r w:rsidRPr="000D46FD">
        <w:rPr>
          <w:rFonts w:cs="B Lotus"/>
          <w:sz w:val="20"/>
          <w:szCs w:val="20"/>
        </w:rPr>
        <w:t xml:space="preserve"> </w:t>
      </w:r>
      <w:r w:rsidRPr="000D46FD">
        <w:rPr>
          <w:rFonts w:ascii="BYekan" w:cs="B Lotus" w:hint="cs"/>
          <w:sz w:val="20"/>
          <w:szCs w:val="20"/>
          <w:rtl/>
        </w:rPr>
        <w:t>قوام، سيد</w:t>
      </w:r>
      <w:r w:rsidRPr="000D46FD">
        <w:rPr>
          <w:rFonts w:ascii="BYekan" w:cs="B Lotus"/>
          <w:sz w:val="20"/>
          <w:szCs w:val="20"/>
        </w:rPr>
        <w:t xml:space="preserve"> </w:t>
      </w:r>
      <w:r w:rsidRPr="000D46FD">
        <w:rPr>
          <w:rFonts w:ascii="BYekan" w:cs="B Lotus" w:hint="cs"/>
          <w:sz w:val="20"/>
          <w:szCs w:val="20"/>
          <w:rtl/>
        </w:rPr>
        <w:t xml:space="preserve">عظيم(1392)؛ </w:t>
      </w:r>
      <w:r w:rsidRPr="000D46FD">
        <w:rPr>
          <w:rFonts w:ascii="BTitrBold" w:cs="B Lotus" w:hint="cs"/>
          <w:sz w:val="20"/>
          <w:szCs w:val="20"/>
          <w:rtl/>
        </w:rPr>
        <w:t>نقش</w:t>
      </w:r>
      <w:r w:rsidRPr="000D46FD">
        <w:rPr>
          <w:rFonts w:ascii="BTitrBold" w:cs="B Lotus"/>
          <w:sz w:val="20"/>
          <w:szCs w:val="20"/>
        </w:rPr>
        <w:t xml:space="preserve"> </w:t>
      </w:r>
      <w:r w:rsidRPr="000D46FD">
        <w:rPr>
          <w:rFonts w:ascii="BTitrBold" w:cs="B Lotus" w:hint="cs"/>
          <w:sz w:val="20"/>
          <w:szCs w:val="20"/>
          <w:rtl/>
        </w:rPr>
        <w:t>بزه</w:t>
      </w:r>
      <w:r w:rsidRPr="000D46FD">
        <w:rPr>
          <w:rFonts w:ascii="BTitrBold" w:cs="B Lotus"/>
          <w:sz w:val="20"/>
          <w:szCs w:val="20"/>
        </w:rPr>
        <w:t xml:space="preserve"> </w:t>
      </w:r>
      <w:r w:rsidRPr="000D46FD">
        <w:rPr>
          <w:rFonts w:ascii="BTitrBold" w:cs="B Lotus" w:hint="cs"/>
          <w:sz w:val="20"/>
          <w:szCs w:val="20"/>
          <w:rtl/>
        </w:rPr>
        <w:t>ديدگان دركشف</w:t>
      </w:r>
      <w:r w:rsidRPr="000D46FD">
        <w:rPr>
          <w:rFonts w:ascii="BTitrBold" w:cs="B Lotus"/>
          <w:sz w:val="20"/>
          <w:szCs w:val="20"/>
        </w:rPr>
        <w:t xml:space="preserve"> </w:t>
      </w:r>
      <w:r w:rsidRPr="000D46FD">
        <w:rPr>
          <w:rFonts w:ascii="BTitrBold" w:cs="B Lotus" w:hint="cs"/>
          <w:sz w:val="20"/>
          <w:szCs w:val="20"/>
          <w:rtl/>
        </w:rPr>
        <w:t>جرم</w:t>
      </w:r>
      <w:r w:rsidRPr="000D46FD">
        <w:rPr>
          <w:rFonts w:ascii="BTitrBold" w:cs="B Lotus"/>
          <w:sz w:val="20"/>
          <w:szCs w:val="20"/>
        </w:rPr>
        <w:t xml:space="preserve"> </w:t>
      </w:r>
      <w:r w:rsidRPr="000D46FD">
        <w:rPr>
          <w:rFonts w:ascii="BTitrBold" w:cs="B Lotus" w:hint="cs"/>
          <w:sz w:val="20"/>
          <w:szCs w:val="20"/>
          <w:rtl/>
        </w:rPr>
        <w:t>وحمايت</w:t>
      </w:r>
      <w:r w:rsidRPr="000D46FD">
        <w:rPr>
          <w:rFonts w:ascii="BTitrBold" w:cs="B Lotus"/>
          <w:sz w:val="20"/>
          <w:szCs w:val="20"/>
        </w:rPr>
        <w:t xml:space="preserve"> </w:t>
      </w:r>
      <w:r w:rsidRPr="000D46FD">
        <w:rPr>
          <w:rFonts w:ascii="BTitrBold" w:cs="B Lotus" w:hint="cs"/>
          <w:sz w:val="20"/>
          <w:szCs w:val="20"/>
          <w:rtl/>
        </w:rPr>
        <w:t>پليس</w:t>
      </w:r>
      <w:r w:rsidRPr="000D46FD">
        <w:rPr>
          <w:rFonts w:ascii="BTitrBold" w:cs="B Lotus"/>
          <w:sz w:val="20"/>
          <w:szCs w:val="20"/>
        </w:rPr>
        <w:t xml:space="preserve"> </w:t>
      </w:r>
      <w:r w:rsidRPr="000D46FD">
        <w:rPr>
          <w:rFonts w:ascii="BTitrBold" w:cs="B Lotus" w:hint="cs"/>
          <w:sz w:val="20"/>
          <w:szCs w:val="20"/>
          <w:rtl/>
        </w:rPr>
        <w:t>از</w:t>
      </w:r>
      <w:r w:rsidRPr="000D46FD">
        <w:rPr>
          <w:rFonts w:ascii="BTitrBold" w:cs="B Lotus"/>
          <w:sz w:val="20"/>
          <w:szCs w:val="20"/>
        </w:rPr>
        <w:t xml:space="preserve"> </w:t>
      </w:r>
      <w:r w:rsidRPr="000D46FD">
        <w:rPr>
          <w:rFonts w:ascii="BTitrBold" w:cs="B Lotus" w:hint="cs"/>
          <w:sz w:val="20"/>
          <w:szCs w:val="20"/>
          <w:rtl/>
        </w:rPr>
        <w:t xml:space="preserve">آنان، </w:t>
      </w:r>
      <w:r w:rsidRPr="000D46FD">
        <w:rPr>
          <w:rFonts w:ascii="BYekan" w:cs="B Lotus" w:hint="cs"/>
          <w:sz w:val="20"/>
          <w:szCs w:val="20"/>
          <w:rtl/>
        </w:rPr>
        <w:t>فصلنامة</w:t>
      </w:r>
      <w:r w:rsidRPr="000D46FD">
        <w:rPr>
          <w:rFonts w:ascii="BYekan" w:cs="B Lotus"/>
          <w:sz w:val="20"/>
          <w:szCs w:val="20"/>
        </w:rPr>
        <w:t xml:space="preserve"> </w:t>
      </w:r>
      <w:r w:rsidRPr="000D46FD">
        <w:rPr>
          <w:rFonts w:ascii="BYekan" w:cs="B Lotus" w:hint="cs"/>
          <w:sz w:val="20"/>
          <w:szCs w:val="20"/>
          <w:rtl/>
        </w:rPr>
        <w:t>انتظام</w:t>
      </w:r>
      <w:r w:rsidRPr="000D46FD">
        <w:rPr>
          <w:rFonts w:ascii="BYekan" w:cs="B Lotus"/>
          <w:sz w:val="20"/>
          <w:szCs w:val="20"/>
        </w:rPr>
        <w:t xml:space="preserve"> </w:t>
      </w:r>
      <w:r w:rsidRPr="000D46FD">
        <w:rPr>
          <w:rFonts w:ascii="BYekan" w:cs="B Lotus" w:hint="cs"/>
          <w:sz w:val="20"/>
          <w:szCs w:val="20"/>
          <w:rtl/>
        </w:rPr>
        <w:t>اجتماعي</w:t>
      </w:r>
      <w:r w:rsidRPr="000D46FD">
        <w:rPr>
          <w:rFonts w:ascii="BYekan" w:cs="B Lotus"/>
          <w:sz w:val="20"/>
          <w:szCs w:val="20"/>
        </w:rPr>
        <w:t xml:space="preserve"> </w:t>
      </w:r>
      <w:r w:rsidRPr="000D46FD">
        <w:rPr>
          <w:rFonts w:ascii="BYekan" w:cs="B Lotus" w:hint="cs"/>
          <w:sz w:val="20"/>
          <w:szCs w:val="20"/>
          <w:rtl/>
        </w:rPr>
        <w:t>،</w:t>
      </w:r>
      <w:r w:rsidRPr="000D46FD">
        <w:rPr>
          <w:rFonts w:ascii="BYekan" w:cs="B Lotus"/>
          <w:sz w:val="20"/>
          <w:szCs w:val="20"/>
        </w:rPr>
        <w:t xml:space="preserve"> </w:t>
      </w:r>
      <w:r w:rsidRPr="000D46FD">
        <w:rPr>
          <w:rFonts w:ascii="BYekan" w:cs="B Lotus" w:hint="cs"/>
          <w:sz w:val="20"/>
          <w:szCs w:val="20"/>
          <w:rtl/>
        </w:rPr>
        <w:t>سال</w:t>
      </w:r>
      <w:r w:rsidRPr="000D46FD">
        <w:rPr>
          <w:rFonts w:ascii="BYekan" w:cs="B Lotus"/>
          <w:sz w:val="20"/>
          <w:szCs w:val="20"/>
        </w:rPr>
        <w:t xml:space="preserve"> </w:t>
      </w:r>
      <w:r w:rsidRPr="000D46FD">
        <w:rPr>
          <w:rFonts w:ascii="BYekan" w:cs="B Lotus" w:hint="cs"/>
          <w:sz w:val="20"/>
          <w:szCs w:val="20"/>
          <w:rtl/>
        </w:rPr>
        <w:t>پنجم</w:t>
      </w:r>
      <w:r w:rsidRPr="000D46FD">
        <w:rPr>
          <w:rFonts w:ascii="BYekan" w:cs="B Lotus"/>
          <w:sz w:val="20"/>
          <w:szCs w:val="20"/>
        </w:rPr>
        <w:t xml:space="preserve"> </w:t>
      </w:r>
      <w:r w:rsidRPr="000D46FD">
        <w:rPr>
          <w:rFonts w:ascii="BYekan" w:cs="B Lotus" w:hint="cs"/>
          <w:sz w:val="20"/>
          <w:szCs w:val="20"/>
          <w:rtl/>
        </w:rPr>
        <w:t>،</w:t>
      </w:r>
      <w:r w:rsidRPr="000D46FD">
        <w:rPr>
          <w:rFonts w:ascii="BYekan" w:cs="B Lotus"/>
          <w:sz w:val="20"/>
          <w:szCs w:val="20"/>
        </w:rPr>
        <w:t xml:space="preserve"> </w:t>
      </w:r>
      <w:r w:rsidRPr="000D46FD">
        <w:rPr>
          <w:rFonts w:ascii="BYekan" w:cs="B Lotus" w:hint="cs"/>
          <w:sz w:val="20"/>
          <w:szCs w:val="20"/>
          <w:rtl/>
        </w:rPr>
        <w:t>شماره</w:t>
      </w:r>
      <w:r w:rsidRPr="000D46FD">
        <w:rPr>
          <w:rFonts w:ascii="BYekan" w:cs="B Lotus"/>
          <w:sz w:val="20"/>
          <w:szCs w:val="20"/>
        </w:rPr>
        <w:t xml:space="preserve"> </w:t>
      </w:r>
      <w:r w:rsidRPr="000D46FD">
        <w:rPr>
          <w:rFonts w:ascii="BYekan" w:cs="B Lotus" w:hint="cs"/>
          <w:sz w:val="20"/>
          <w:szCs w:val="20"/>
          <w:rtl/>
        </w:rPr>
        <w:t>سوم</w:t>
      </w:r>
      <w:r w:rsidRPr="000D46FD">
        <w:rPr>
          <w:rFonts w:ascii="BYekan" w:cs="B Lotus"/>
          <w:sz w:val="20"/>
          <w:szCs w:val="20"/>
        </w:rPr>
        <w:t xml:space="preserve"> </w:t>
      </w:r>
      <w:r w:rsidRPr="000D46FD">
        <w:rPr>
          <w:rFonts w:ascii="BYekan" w:cs="B Lotus" w:hint="cs"/>
          <w:sz w:val="20"/>
          <w:szCs w:val="20"/>
          <w:rtl/>
        </w:rPr>
        <w:t>،</w:t>
      </w:r>
      <w:r w:rsidRPr="000D46FD">
        <w:rPr>
          <w:rFonts w:ascii="BYekan" w:cs="B Lotus"/>
          <w:sz w:val="20"/>
          <w:szCs w:val="20"/>
        </w:rPr>
        <w:t xml:space="preserve"> </w:t>
      </w:r>
      <w:r w:rsidRPr="000D46FD">
        <w:rPr>
          <w:rFonts w:ascii="BYekan" w:cs="B Lotus" w:hint="cs"/>
          <w:sz w:val="20"/>
          <w:szCs w:val="20"/>
          <w:rtl/>
        </w:rPr>
        <w:t xml:space="preserve">پاييز </w:t>
      </w:r>
      <w:r w:rsidRPr="000D46FD">
        <w:rPr>
          <w:rFonts w:ascii="BYekan" w:cs="B Lotus"/>
          <w:sz w:val="20"/>
          <w:szCs w:val="20"/>
        </w:rPr>
        <w:t xml:space="preserve"> 1392</w:t>
      </w:r>
      <w:r w:rsidRPr="000D46FD">
        <w:rPr>
          <w:rFonts w:ascii="BYekan" w:cs="B Lotus" w:hint="cs"/>
          <w:sz w:val="20"/>
          <w:szCs w:val="20"/>
          <w:rtl/>
        </w:rPr>
        <w:t>.</w:t>
      </w:r>
    </w:p>
    <w:p w14:paraId="2A4E114B" w14:textId="77777777" w:rsidR="000A5E92" w:rsidRPr="000D46FD" w:rsidRDefault="000A5E92" w:rsidP="000D46FD">
      <w:pPr>
        <w:pStyle w:val="FootnoteText"/>
        <w:jc w:val="both"/>
        <w:rPr>
          <w:rFonts w:cs="B Lotus"/>
          <w:rtl/>
        </w:rPr>
      </w:pPr>
    </w:p>
  </w:footnote>
  <w:footnote w:id="14">
    <w:p w14:paraId="0FFA38ED" w14:textId="77777777" w:rsidR="000A5E92" w:rsidRPr="000D46FD" w:rsidRDefault="000A5E92" w:rsidP="000D46FD">
      <w:pPr>
        <w:spacing w:line="240" w:lineRule="auto"/>
        <w:jc w:val="both"/>
        <w:rPr>
          <w:rFonts w:cs="B Lotus"/>
          <w:sz w:val="20"/>
          <w:szCs w:val="20"/>
          <w:rtl/>
        </w:rPr>
      </w:pPr>
      <w:r w:rsidRPr="000D46FD">
        <w:rPr>
          <w:rStyle w:val="FootnoteReference"/>
          <w:rFonts w:cs="B Lotus"/>
          <w:sz w:val="20"/>
          <w:szCs w:val="20"/>
        </w:rPr>
        <w:footnoteRef/>
      </w:r>
      <w:r w:rsidRPr="000D46FD">
        <w:rPr>
          <w:rFonts w:cs="B Lotus"/>
          <w:sz w:val="20"/>
          <w:szCs w:val="20"/>
        </w:rPr>
        <w:t xml:space="preserve"> </w:t>
      </w:r>
      <w:r w:rsidRPr="000D46FD">
        <w:rPr>
          <w:rFonts w:cs="B Lotus"/>
          <w:sz w:val="20"/>
          <w:szCs w:val="20"/>
          <w:rtl/>
        </w:rPr>
        <w:t>حاجی ده آبادی</w:t>
      </w:r>
      <w:r w:rsidRPr="000D46FD">
        <w:rPr>
          <w:rFonts w:cs="B Lotus" w:hint="cs"/>
          <w:sz w:val="20"/>
          <w:szCs w:val="20"/>
          <w:rtl/>
        </w:rPr>
        <w:t>،</w:t>
      </w:r>
      <w:r w:rsidRPr="000D46FD">
        <w:rPr>
          <w:rFonts w:cs="B Lotus"/>
          <w:sz w:val="20"/>
          <w:szCs w:val="20"/>
          <w:rtl/>
        </w:rPr>
        <w:t xml:space="preserve"> احمد</w:t>
      </w:r>
      <w:r w:rsidRPr="000D46FD">
        <w:rPr>
          <w:rFonts w:cs="B Lotus" w:hint="cs"/>
          <w:sz w:val="20"/>
          <w:szCs w:val="20"/>
          <w:rtl/>
        </w:rPr>
        <w:t>(1385)،</w:t>
      </w:r>
      <w:r w:rsidRPr="000D46FD">
        <w:rPr>
          <w:rFonts w:cs="B Lotus"/>
          <w:sz w:val="20"/>
          <w:szCs w:val="20"/>
          <w:rtl/>
        </w:rPr>
        <w:t xml:space="preserve">از جبران خسارت بزه دیده توسط بزه کار </w:t>
      </w:r>
      <w:r w:rsidRPr="000D46FD">
        <w:rPr>
          <w:rFonts w:ascii="Times New Roman" w:hAnsi="Times New Roman" w:cs="B Lotus" w:hint="cs"/>
          <w:sz w:val="20"/>
          <w:szCs w:val="20"/>
          <w:rtl/>
        </w:rPr>
        <w:t>تا جبران خسارت توسط دولت</w:t>
      </w:r>
      <w:r w:rsidRPr="000D46FD">
        <w:rPr>
          <w:rFonts w:cs="B Lotus"/>
          <w:sz w:val="20"/>
          <w:szCs w:val="20"/>
          <w:rtl/>
        </w:rPr>
        <w:t>، مجله فقه و حقوق، شماره</w:t>
      </w:r>
      <w:r w:rsidRPr="000D46FD">
        <w:rPr>
          <w:rFonts w:cs="B Lotus" w:hint="cs"/>
          <w:sz w:val="20"/>
          <w:szCs w:val="20"/>
          <w:rtl/>
        </w:rPr>
        <w:t>95</w:t>
      </w:r>
      <w:r w:rsidRPr="000D46FD">
        <w:rPr>
          <w:rFonts w:cs="B Lotus"/>
          <w:sz w:val="20"/>
          <w:szCs w:val="20"/>
          <w:rtl/>
        </w:rPr>
        <w:t>، سال سوم، تابستان</w:t>
      </w:r>
      <w:r w:rsidRPr="000D46FD">
        <w:rPr>
          <w:rFonts w:cs="B Lotus" w:hint="cs"/>
          <w:sz w:val="20"/>
          <w:szCs w:val="20"/>
          <w:rtl/>
        </w:rPr>
        <w:t>.</w:t>
      </w:r>
    </w:p>
  </w:footnote>
  <w:footnote w:id="15">
    <w:p w14:paraId="0D6684F0"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حسینلو، حسنعلی(1304)، حمایت از بزه دیده در قانون آئین دادرسی کیفری با بررسی تطبیقی آن با کشور فرانسه، پایان نامه دوره کارشناسی ارشد، دانشگاه امام صادق،تهران.</w:t>
      </w:r>
    </w:p>
    <w:p w14:paraId="31069E71" w14:textId="77777777" w:rsidR="000A5E92" w:rsidRPr="000D46FD" w:rsidRDefault="000A5E92" w:rsidP="000D46FD">
      <w:pPr>
        <w:pStyle w:val="FootnoteText"/>
        <w:jc w:val="both"/>
        <w:rPr>
          <w:rFonts w:cs="B Lotus"/>
          <w:rtl/>
        </w:rPr>
      </w:pPr>
    </w:p>
  </w:footnote>
  <w:footnote w:id="16">
    <w:p w14:paraId="65F911D1"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cs="B Lotus" w:hint="cs"/>
          <w:rtl/>
        </w:rPr>
        <w:t>رایجیان اصلی، مهرداد(1383)، سه گفتار تطبیقی در بزه دیده شناسی: داخلی، منطقه ای و بین المللی، مجله حقوقی دادگستری، شماره46،بهار 1383،ص189.</w:t>
      </w:r>
    </w:p>
  </w:footnote>
  <w:footnote w:id="17">
    <w:p w14:paraId="1F2D64AE" w14:textId="77777777" w:rsidR="000A5E92" w:rsidRPr="000D46FD" w:rsidRDefault="000A5E92" w:rsidP="000D46FD">
      <w:pPr>
        <w:pStyle w:val="FootnoteText"/>
        <w:jc w:val="both"/>
        <w:rPr>
          <w:rFonts w:cs="B Lotus"/>
          <w:rtl/>
        </w:rPr>
      </w:pPr>
      <w:r w:rsidRPr="000D46FD">
        <w:rPr>
          <w:rStyle w:val="FootnoteReference"/>
          <w:rFonts w:cs="B Lotus"/>
        </w:rPr>
        <w:footnoteRef/>
      </w:r>
      <w:r w:rsidRPr="000D46FD">
        <w:rPr>
          <w:rFonts w:cs="B Lotus"/>
        </w:rPr>
        <w:t xml:space="preserve"> </w:t>
      </w:r>
      <w:r w:rsidRPr="000D46FD">
        <w:rPr>
          <w:rFonts w:ascii="Zar" w:cs="B Lotus" w:hint="cs"/>
          <w:rtl/>
        </w:rPr>
        <w:t>شيري،</w:t>
      </w:r>
      <w:r w:rsidRPr="000D46FD">
        <w:rPr>
          <w:rFonts w:ascii="Zar" w:cs="B Lotus"/>
        </w:rPr>
        <w:t xml:space="preserve"> </w:t>
      </w:r>
      <w:r w:rsidRPr="000D46FD">
        <w:rPr>
          <w:rFonts w:ascii="Zar" w:cs="B Lotus" w:hint="cs"/>
          <w:rtl/>
        </w:rPr>
        <w:t>عباس(1398)،«رفتار</w:t>
      </w:r>
      <w:r w:rsidRPr="000D46FD">
        <w:rPr>
          <w:rFonts w:ascii="Zar" w:cs="B Lotus"/>
        </w:rPr>
        <w:t xml:space="preserve"> </w:t>
      </w:r>
      <w:r w:rsidRPr="000D46FD">
        <w:rPr>
          <w:rFonts w:ascii="Zar" w:cs="B Lotus" w:hint="cs"/>
          <w:rtl/>
        </w:rPr>
        <w:t>كرامت</w:t>
      </w:r>
      <w:r w:rsidRPr="000D46FD">
        <w:rPr>
          <w:rFonts w:ascii="Zar" w:cs="B Lotus"/>
        </w:rPr>
        <w:t xml:space="preserve"> </w:t>
      </w:r>
      <w:r w:rsidRPr="000D46FD">
        <w:rPr>
          <w:rFonts w:ascii="Zar" w:cs="B Lotus" w:hint="cs"/>
          <w:rtl/>
        </w:rPr>
        <w:t>مداري</w:t>
      </w:r>
      <w:r w:rsidRPr="000D46FD">
        <w:rPr>
          <w:rFonts w:ascii="Zar" w:cs="B Lotus"/>
        </w:rPr>
        <w:t xml:space="preserve"> </w:t>
      </w:r>
      <w:r w:rsidRPr="000D46FD">
        <w:rPr>
          <w:rFonts w:ascii="Zar" w:cs="B Lotus" w:hint="cs"/>
          <w:rtl/>
        </w:rPr>
        <w:t>با</w:t>
      </w:r>
      <w:r w:rsidRPr="000D46FD">
        <w:rPr>
          <w:rFonts w:ascii="Zar" w:cs="B Lotus"/>
        </w:rPr>
        <w:t xml:space="preserve"> </w:t>
      </w:r>
      <w:r w:rsidRPr="000D46FD">
        <w:rPr>
          <w:rFonts w:ascii="Zar" w:cs="B Lotus" w:hint="cs"/>
          <w:rtl/>
        </w:rPr>
        <w:t>بزه</w:t>
      </w:r>
      <w:r w:rsidRPr="000D46FD">
        <w:rPr>
          <w:rFonts w:ascii="Zar" w:cs="B Lotus"/>
        </w:rPr>
        <w:t xml:space="preserve"> </w:t>
      </w:r>
      <w:r w:rsidRPr="000D46FD">
        <w:rPr>
          <w:rFonts w:ascii="Zar" w:cs="B Lotus" w:hint="cs"/>
          <w:rtl/>
        </w:rPr>
        <w:t>ديده:</w:t>
      </w:r>
      <w:r w:rsidRPr="000D46FD">
        <w:rPr>
          <w:rFonts w:ascii="Zar" w:cs="B Lotus"/>
        </w:rPr>
        <w:t xml:space="preserve"> </w:t>
      </w:r>
      <w:r w:rsidRPr="000D46FD">
        <w:rPr>
          <w:rFonts w:ascii="Zar" w:cs="B Lotus" w:hint="cs"/>
          <w:rtl/>
        </w:rPr>
        <w:t>اعطاي</w:t>
      </w:r>
      <w:r w:rsidRPr="000D46FD">
        <w:rPr>
          <w:rFonts w:ascii="Zar" w:cs="B Lotus"/>
        </w:rPr>
        <w:t xml:space="preserve"> </w:t>
      </w:r>
      <w:r w:rsidRPr="000D46FD">
        <w:rPr>
          <w:rFonts w:ascii="Zar" w:cs="B Lotus" w:hint="cs"/>
          <w:rtl/>
        </w:rPr>
        <w:t>اختيار</w:t>
      </w:r>
      <w:r w:rsidRPr="000D46FD">
        <w:rPr>
          <w:rFonts w:ascii="Zar" w:cs="B Lotus"/>
        </w:rPr>
        <w:t xml:space="preserve"> </w:t>
      </w:r>
      <w:r w:rsidRPr="000D46FD">
        <w:rPr>
          <w:rFonts w:ascii="Zar" w:cs="B Lotus" w:hint="cs"/>
          <w:rtl/>
        </w:rPr>
        <w:t>در</w:t>
      </w:r>
      <w:r w:rsidRPr="000D46FD">
        <w:rPr>
          <w:rFonts w:ascii="Zar" w:cs="B Lotus"/>
        </w:rPr>
        <w:t xml:space="preserve"> </w:t>
      </w:r>
      <w:r w:rsidRPr="000D46FD">
        <w:rPr>
          <w:rFonts w:ascii="Zar" w:cs="B Lotus" w:hint="cs"/>
          <w:rtl/>
        </w:rPr>
        <w:t>مرحلة</w:t>
      </w:r>
      <w:r w:rsidRPr="000D46FD">
        <w:rPr>
          <w:rFonts w:ascii="Zar" w:cs="B Lotus"/>
        </w:rPr>
        <w:t xml:space="preserve"> </w:t>
      </w:r>
      <w:r w:rsidRPr="000D46FD">
        <w:rPr>
          <w:rFonts w:ascii="Zar" w:cs="B Lotus" w:hint="cs"/>
          <w:rtl/>
        </w:rPr>
        <w:t>تحقيق</w:t>
      </w:r>
      <w:r w:rsidRPr="000D46FD">
        <w:rPr>
          <w:rFonts w:ascii="Zar" w:cs="B Lotus"/>
        </w:rPr>
        <w:t xml:space="preserve"> </w:t>
      </w:r>
      <w:r w:rsidRPr="000D46FD">
        <w:rPr>
          <w:rFonts w:ascii="Zar" w:cs="B Lotus" w:hint="cs"/>
          <w:rtl/>
        </w:rPr>
        <w:t>و</w:t>
      </w:r>
      <w:r w:rsidRPr="000D46FD">
        <w:rPr>
          <w:rFonts w:ascii="Zar" w:cs="B Lotus"/>
        </w:rPr>
        <w:t xml:space="preserve"> </w:t>
      </w:r>
      <w:r w:rsidRPr="000D46FD">
        <w:rPr>
          <w:rFonts w:ascii="Zar" w:cs="B Lotus" w:hint="cs"/>
          <w:rtl/>
        </w:rPr>
        <w:t>تعقيب»،</w:t>
      </w:r>
      <w:r w:rsidRPr="000D46FD">
        <w:rPr>
          <w:rFonts w:ascii="LotusBold" w:cs="B Lotus" w:hint="cs"/>
          <w:rtl/>
        </w:rPr>
        <w:t xml:space="preserve"> تازه</w:t>
      </w:r>
      <w:r w:rsidRPr="000D46FD">
        <w:rPr>
          <w:rFonts w:ascii="LotusBold" w:cs="B Lotus"/>
        </w:rPr>
        <w:t>‌</w:t>
      </w:r>
      <w:r w:rsidRPr="000D46FD">
        <w:rPr>
          <w:rFonts w:ascii="LotusBold" w:cs="B Lotus" w:hint="cs"/>
          <w:rtl/>
        </w:rPr>
        <w:t>هاي علوم</w:t>
      </w:r>
      <w:r w:rsidRPr="000D46FD">
        <w:rPr>
          <w:rFonts w:ascii="LotusBold" w:cs="B Lotus"/>
        </w:rPr>
        <w:t xml:space="preserve"> </w:t>
      </w:r>
      <w:r w:rsidRPr="000D46FD">
        <w:rPr>
          <w:rFonts w:ascii="LotusBold" w:cs="B Lotus" w:hint="cs"/>
          <w:rtl/>
        </w:rPr>
        <w:t>جنايي</w:t>
      </w:r>
      <w:r w:rsidRPr="000D46FD">
        <w:rPr>
          <w:rFonts w:ascii="Zar" w:cs="B Lotus" w:hint="cs"/>
          <w:rtl/>
        </w:rPr>
        <w:t>(مجموعه</w:t>
      </w:r>
      <w:r w:rsidRPr="000D46FD">
        <w:rPr>
          <w:rFonts w:ascii="Zar" w:cs="B Lotus"/>
        </w:rPr>
        <w:t xml:space="preserve"> </w:t>
      </w:r>
      <w:r w:rsidRPr="000D46FD">
        <w:rPr>
          <w:rFonts w:ascii="Zar" w:cs="B Lotus" w:hint="cs"/>
          <w:rtl/>
        </w:rPr>
        <w:t>مقالات)،</w:t>
      </w:r>
      <w:r w:rsidRPr="000D46FD">
        <w:rPr>
          <w:rFonts w:ascii="Zar" w:cs="B Lotus"/>
        </w:rPr>
        <w:t xml:space="preserve"> </w:t>
      </w:r>
      <w:r w:rsidRPr="000D46FD">
        <w:rPr>
          <w:rFonts w:ascii="Zar" w:cs="B Lotus" w:hint="cs"/>
          <w:rtl/>
        </w:rPr>
        <w:t>تهران،</w:t>
      </w:r>
      <w:r w:rsidRPr="000D46FD">
        <w:rPr>
          <w:rFonts w:ascii="Zar" w:cs="B Lotus"/>
        </w:rPr>
        <w:t xml:space="preserve"> </w:t>
      </w:r>
      <w:r w:rsidRPr="000D46FD">
        <w:rPr>
          <w:rFonts w:ascii="Zar" w:cs="B Lotus" w:hint="cs"/>
          <w:rtl/>
        </w:rPr>
        <w:t>ميزان.</w:t>
      </w:r>
    </w:p>
    <w:p w14:paraId="2B7C3450" w14:textId="77777777" w:rsidR="000A5E92" w:rsidRPr="000D46FD" w:rsidRDefault="000A5E92" w:rsidP="000D46FD">
      <w:pPr>
        <w:pStyle w:val="FootnoteText"/>
        <w:jc w:val="both"/>
        <w:rPr>
          <w:rFonts w:cs="B Lotus"/>
          <w:rtl/>
        </w:rPr>
      </w:pPr>
    </w:p>
  </w:footnote>
  <w:footnote w:id="18">
    <w:p w14:paraId="56EFB761" w14:textId="77777777" w:rsidR="000A5E92" w:rsidRPr="000D46FD" w:rsidRDefault="000A5E92" w:rsidP="000D46FD">
      <w:pPr>
        <w:autoSpaceDE w:val="0"/>
        <w:autoSpaceDN w:val="0"/>
        <w:adjustRightInd w:val="0"/>
        <w:spacing w:after="0" w:line="240" w:lineRule="auto"/>
        <w:jc w:val="both"/>
        <w:rPr>
          <w:rFonts w:ascii="BNazanin" w:cs="B Lotus"/>
          <w:sz w:val="20"/>
          <w:szCs w:val="20"/>
          <w:rtl/>
        </w:rPr>
      </w:pPr>
      <w:r w:rsidRPr="000D46FD">
        <w:rPr>
          <w:rStyle w:val="FootnoteReference"/>
          <w:rFonts w:cs="B Lotus"/>
          <w:sz w:val="20"/>
          <w:szCs w:val="20"/>
        </w:rPr>
        <w:footnoteRef/>
      </w:r>
      <w:r w:rsidRPr="000D46FD">
        <w:rPr>
          <w:rFonts w:cs="B Lotus"/>
          <w:sz w:val="20"/>
          <w:szCs w:val="20"/>
        </w:rPr>
        <w:t xml:space="preserve"> </w:t>
      </w:r>
      <w:r w:rsidRPr="000D46FD">
        <w:rPr>
          <w:rFonts w:ascii="BNazanin" w:cs="B Lotus" w:hint="cs"/>
          <w:sz w:val="20"/>
          <w:szCs w:val="20"/>
          <w:rtl/>
        </w:rPr>
        <w:t>حسيني،</w:t>
      </w:r>
      <w:r w:rsidRPr="000D46FD">
        <w:rPr>
          <w:rFonts w:ascii="BNazanin" w:cs="B Lotus"/>
          <w:sz w:val="20"/>
          <w:szCs w:val="20"/>
        </w:rPr>
        <w:t xml:space="preserve"> </w:t>
      </w:r>
      <w:r w:rsidRPr="000D46FD">
        <w:rPr>
          <w:rFonts w:ascii="BNazanin" w:cs="B Lotus" w:hint="cs"/>
          <w:sz w:val="20"/>
          <w:szCs w:val="20"/>
          <w:rtl/>
        </w:rPr>
        <w:t>سيد</w:t>
      </w:r>
      <w:r w:rsidRPr="000D46FD">
        <w:rPr>
          <w:rFonts w:ascii="BNazanin" w:cs="B Lotus"/>
          <w:sz w:val="20"/>
          <w:szCs w:val="20"/>
        </w:rPr>
        <w:t xml:space="preserve"> </w:t>
      </w:r>
      <w:r w:rsidRPr="000D46FD">
        <w:rPr>
          <w:rFonts w:ascii="BNazanin" w:cs="B Lotus" w:hint="cs"/>
          <w:sz w:val="20"/>
          <w:szCs w:val="20"/>
          <w:rtl/>
        </w:rPr>
        <w:t>محمد(1393)،سياست</w:t>
      </w:r>
      <w:r w:rsidRPr="000D46FD">
        <w:rPr>
          <w:rFonts w:ascii="BNazanin" w:cs="B Lotus"/>
          <w:sz w:val="20"/>
          <w:szCs w:val="20"/>
        </w:rPr>
        <w:t xml:space="preserve"> </w:t>
      </w:r>
      <w:r w:rsidRPr="000D46FD">
        <w:rPr>
          <w:rFonts w:ascii="BNazanin" w:cs="B Lotus" w:hint="cs"/>
          <w:sz w:val="20"/>
          <w:szCs w:val="20"/>
          <w:rtl/>
        </w:rPr>
        <w:t>جنايي</w:t>
      </w:r>
      <w:r w:rsidRPr="000D46FD">
        <w:rPr>
          <w:rFonts w:ascii="BNazanin" w:cs="B Lotus"/>
          <w:sz w:val="20"/>
          <w:szCs w:val="20"/>
        </w:rPr>
        <w:t xml:space="preserve"> </w:t>
      </w:r>
      <w:r w:rsidRPr="000D46FD">
        <w:rPr>
          <w:rFonts w:ascii="BNazanin" w:cs="B Lotus" w:hint="cs"/>
          <w:sz w:val="20"/>
          <w:szCs w:val="20"/>
          <w:rtl/>
        </w:rPr>
        <w:t>در</w:t>
      </w:r>
      <w:r w:rsidRPr="000D46FD">
        <w:rPr>
          <w:rFonts w:ascii="BNazanin" w:cs="B Lotus"/>
          <w:sz w:val="20"/>
          <w:szCs w:val="20"/>
        </w:rPr>
        <w:t xml:space="preserve"> </w:t>
      </w:r>
      <w:r w:rsidRPr="000D46FD">
        <w:rPr>
          <w:rFonts w:ascii="BNazanin" w:cs="B Lotus" w:hint="cs"/>
          <w:sz w:val="20"/>
          <w:szCs w:val="20"/>
          <w:rtl/>
        </w:rPr>
        <w:t>اسلام</w:t>
      </w:r>
      <w:r w:rsidRPr="000D46FD">
        <w:rPr>
          <w:rFonts w:ascii="BNazanin" w:cs="B Lotus"/>
          <w:sz w:val="20"/>
          <w:szCs w:val="20"/>
        </w:rPr>
        <w:t xml:space="preserve"> </w:t>
      </w:r>
      <w:r w:rsidRPr="000D46FD">
        <w:rPr>
          <w:rFonts w:ascii="BNazanin" w:cs="B Lotus" w:hint="cs"/>
          <w:sz w:val="20"/>
          <w:szCs w:val="20"/>
          <w:rtl/>
        </w:rPr>
        <w:t>و</w:t>
      </w:r>
      <w:r w:rsidRPr="000D46FD">
        <w:rPr>
          <w:rFonts w:ascii="BNazanin" w:cs="B Lotus"/>
          <w:sz w:val="20"/>
          <w:szCs w:val="20"/>
        </w:rPr>
        <w:t xml:space="preserve"> </w:t>
      </w:r>
      <w:r w:rsidRPr="000D46FD">
        <w:rPr>
          <w:rFonts w:ascii="BNazanin" w:cs="B Lotus" w:hint="cs"/>
          <w:sz w:val="20"/>
          <w:szCs w:val="20"/>
          <w:rtl/>
        </w:rPr>
        <w:t>در</w:t>
      </w:r>
      <w:r w:rsidRPr="000D46FD">
        <w:rPr>
          <w:rFonts w:ascii="BNazanin" w:cs="B Lotus"/>
          <w:sz w:val="20"/>
          <w:szCs w:val="20"/>
        </w:rPr>
        <w:t xml:space="preserve"> </w:t>
      </w:r>
      <w:r w:rsidRPr="000D46FD">
        <w:rPr>
          <w:rFonts w:ascii="BNazanin" w:cs="B Lotus" w:hint="cs"/>
          <w:sz w:val="20"/>
          <w:szCs w:val="20"/>
          <w:rtl/>
        </w:rPr>
        <w:t>جمهوري</w:t>
      </w:r>
      <w:r w:rsidRPr="000D46FD">
        <w:rPr>
          <w:rFonts w:ascii="BNazanin" w:cs="B Lotus"/>
          <w:sz w:val="20"/>
          <w:szCs w:val="20"/>
        </w:rPr>
        <w:t xml:space="preserve"> </w:t>
      </w:r>
      <w:r w:rsidRPr="000D46FD">
        <w:rPr>
          <w:rFonts w:ascii="BNazanin" w:cs="B Lotus" w:hint="cs"/>
          <w:sz w:val="20"/>
          <w:szCs w:val="20"/>
          <w:rtl/>
        </w:rPr>
        <w:t>اسلامي</w:t>
      </w:r>
      <w:r w:rsidRPr="000D46FD">
        <w:rPr>
          <w:rFonts w:ascii="BNazanin" w:cs="B Lotus"/>
          <w:sz w:val="20"/>
          <w:szCs w:val="20"/>
        </w:rPr>
        <w:t xml:space="preserve"> </w:t>
      </w:r>
      <w:r w:rsidRPr="000D46FD">
        <w:rPr>
          <w:rFonts w:ascii="BNazanin" w:cs="B Lotus" w:hint="cs"/>
          <w:sz w:val="20"/>
          <w:szCs w:val="20"/>
          <w:rtl/>
        </w:rPr>
        <w:t>ايران، تهران،</w:t>
      </w:r>
      <w:r w:rsidRPr="000D46FD">
        <w:rPr>
          <w:rFonts w:ascii="BNazanin" w:cs="B Lotus"/>
          <w:sz w:val="20"/>
          <w:szCs w:val="20"/>
        </w:rPr>
        <w:t xml:space="preserve"> </w:t>
      </w:r>
      <w:r w:rsidRPr="000D46FD">
        <w:rPr>
          <w:rFonts w:ascii="BNazanin" w:cs="B Lotus" w:hint="cs"/>
          <w:sz w:val="20"/>
          <w:szCs w:val="20"/>
          <w:rtl/>
        </w:rPr>
        <w:t>موسسه</w:t>
      </w:r>
      <w:r w:rsidRPr="000D46FD">
        <w:rPr>
          <w:rFonts w:ascii="BNazanin" w:cs="B Lotus"/>
          <w:sz w:val="20"/>
          <w:szCs w:val="20"/>
        </w:rPr>
        <w:t xml:space="preserve"> </w:t>
      </w:r>
      <w:r w:rsidRPr="000D46FD">
        <w:rPr>
          <w:rFonts w:ascii="BNazanin" w:cs="B Lotus" w:hint="cs"/>
          <w:sz w:val="20"/>
          <w:szCs w:val="20"/>
          <w:rtl/>
        </w:rPr>
        <w:t>انتشارات</w:t>
      </w:r>
      <w:r w:rsidRPr="000D46FD">
        <w:rPr>
          <w:rFonts w:ascii="BNazanin" w:cs="B Lotus"/>
          <w:sz w:val="20"/>
          <w:szCs w:val="20"/>
        </w:rPr>
        <w:t xml:space="preserve"> </w:t>
      </w:r>
      <w:r w:rsidRPr="000D46FD">
        <w:rPr>
          <w:rFonts w:ascii="BNazanin" w:cs="B Lotus" w:hint="cs"/>
          <w:sz w:val="20"/>
          <w:szCs w:val="20"/>
          <w:rtl/>
        </w:rPr>
        <w:t>و</w:t>
      </w:r>
      <w:r w:rsidRPr="000D46FD">
        <w:rPr>
          <w:rFonts w:ascii="BNazanin" w:cs="B Lotus"/>
          <w:sz w:val="20"/>
          <w:szCs w:val="20"/>
        </w:rPr>
        <w:t xml:space="preserve"> </w:t>
      </w:r>
      <w:r w:rsidRPr="000D46FD">
        <w:rPr>
          <w:rFonts w:ascii="BNazanin" w:cs="B Lotus" w:hint="cs"/>
          <w:sz w:val="20"/>
          <w:szCs w:val="20"/>
          <w:rtl/>
        </w:rPr>
        <w:t>چاپ</w:t>
      </w:r>
      <w:r w:rsidRPr="000D46FD">
        <w:rPr>
          <w:rFonts w:ascii="BNazanin" w:cs="B Lotus"/>
          <w:sz w:val="20"/>
          <w:szCs w:val="20"/>
        </w:rPr>
        <w:t xml:space="preserve"> </w:t>
      </w:r>
      <w:r w:rsidRPr="000D46FD">
        <w:rPr>
          <w:rFonts w:ascii="BNazanin" w:cs="B Lotus" w:hint="cs"/>
          <w:sz w:val="20"/>
          <w:szCs w:val="20"/>
          <w:rtl/>
        </w:rPr>
        <w:t>دانشگاه</w:t>
      </w:r>
      <w:r w:rsidRPr="000D46FD">
        <w:rPr>
          <w:rFonts w:ascii="BNazanin" w:cs="B Lotus"/>
          <w:sz w:val="20"/>
          <w:szCs w:val="20"/>
        </w:rPr>
        <w:t xml:space="preserve"> </w:t>
      </w:r>
      <w:r w:rsidRPr="000D46FD">
        <w:rPr>
          <w:rFonts w:ascii="BNazanin" w:cs="B Lotus" w:hint="cs"/>
          <w:sz w:val="20"/>
          <w:szCs w:val="20"/>
          <w:rtl/>
        </w:rPr>
        <w:t>تهران</w:t>
      </w:r>
      <w:r w:rsidRPr="000D46FD">
        <w:rPr>
          <w:rFonts w:ascii="BNazanin" w:cs="B Lotus"/>
          <w:sz w:val="20"/>
          <w:szCs w:val="20"/>
        </w:rPr>
        <w:t xml:space="preserve"> </w:t>
      </w:r>
      <w:r w:rsidRPr="000D46FD">
        <w:rPr>
          <w:rFonts w:ascii="BNazanin" w:cs="B Lotus" w:hint="cs"/>
          <w:sz w:val="20"/>
          <w:szCs w:val="20"/>
          <w:rtl/>
        </w:rPr>
        <w:t>و</w:t>
      </w:r>
      <w:r w:rsidRPr="000D46FD">
        <w:rPr>
          <w:rFonts w:ascii="BNazanin" w:cs="B Lotus"/>
          <w:sz w:val="20"/>
          <w:szCs w:val="20"/>
        </w:rPr>
        <w:t xml:space="preserve"> </w:t>
      </w:r>
      <w:r w:rsidRPr="000D46FD">
        <w:rPr>
          <w:rFonts w:ascii="BNazanin" w:cs="B Lotus" w:hint="cs"/>
          <w:sz w:val="20"/>
          <w:szCs w:val="20"/>
          <w:rtl/>
        </w:rPr>
        <w:t>سمت.</w:t>
      </w:r>
    </w:p>
    <w:p w14:paraId="455AE7AB" w14:textId="77777777" w:rsidR="000A5E92" w:rsidRPr="000D46FD" w:rsidRDefault="000A5E92" w:rsidP="000D46FD">
      <w:pPr>
        <w:pStyle w:val="FootnoteText"/>
        <w:jc w:val="both"/>
        <w:rPr>
          <w:rFonts w:cs="B Lotus"/>
          <w:rtl/>
        </w:rPr>
      </w:pPr>
    </w:p>
  </w:footnote>
  <w:footnote w:id="19">
    <w:p w14:paraId="70AAC529" w14:textId="77777777" w:rsidR="000D42B3" w:rsidRPr="000D46FD" w:rsidRDefault="000D42B3" w:rsidP="000D46FD">
      <w:pPr>
        <w:spacing w:before="100" w:beforeAutospacing="1" w:after="100" w:afterAutospacing="1" w:line="240" w:lineRule="auto"/>
        <w:jc w:val="both"/>
        <w:rPr>
          <w:rFonts w:ascii="Times New Roman" w:eastAsia="Times New Roman" w:hAnsi="Times New Roman" w:cs="B Lotus"/>
          <w:sz w:val="20"/>
          <w:szCs w:val="20"/>
          <w:lang w:bidi="ar-SA"/>
        </w:rPr>
      </w:pPr>
      <w:r w:rsidRPr="000D46FD">
        <w:rPr>
          <w:rStyle w:val="FootnoteReference"/>
          <w:rFonts w:cs="B Lotus"/>
          <w:sz w:val="20"/>
          <w:szCs w:val="20"/>
        </w:rPr>
        <w:footnoteRef/>
      </w:r>
      <w:r w:rsidRPr="000D46FD">
        <w:rPr>
          <w:rFonts w:cs="B Lotus"/>
          <w:sz w:val="20"/>
          <w:szCs w:val="20"/>
          <w:rtl/>
        </w:rPr>
        <w:t xml:space="preserve"> </w:t>
      </w:r>
      <w:r w:rsidRPr="000D46FD">
        <w:rPr>
          <w:rFonts w:ascii="Times New Roman" w:eastAsia="Times New Roman" w:hAnsi="Times New Roman" w:cs="B Lotus"/>
          <w:sz w:val="20"/>
          <w:szCs w:val="20"/>
          <w:rtl/>
          <w:lang w:bidi="ar-SA"/>
        </w:rPr>
        <w:t>زارعی بابک و حسین</w:t>
      </w:r>
      <w:r w:rsidRPr="000D46FD">
        <w:rPr>
          <w:rFonts w:ascii="Times New Roman" w:eastAsia="Times New Roman" w:hAnsi="Times New Roman" w:cs="B Lotus" w:hint="cs"/>
          <w:sz w:val="20"/>
          <w:szCs w:val="20"/>
          <w:rtl/>
          <w:lang w:bidi="ar-SA"/>
        </w:rPr>
        <w:t>(1398)</w:t>
      </w:r>
      <w:r w:rsidRPr="000D46FD">
        <w:rPr>
          <w:rFonts w:ascii="Times New Roman" w:eastAsia="Times New Roman" w:hAnsi="Times New Roman" w:cs="B Lotus"/>
          <w:sz w:val="20"/>
          <w:szCs w:val="20"/>
          <w:rtl/>
          <w:lang w:bidi="ar-SA"/>
        </w:rPr>
        <w:t xml:space="preserve"> نگهداری پیشگیری وضعی در قبال جرایم علیه معلولین، ، تهران، اندیشه رشد، </w:t>
      </w:r>
      <w:r w:rsidRPr="000D46FD">
        <w:rPr>
          <w:rFonts w:ascii="Times New Roman" w:eastAsia="Times New Roman" w:hAnsi="Times New Roman" w:cs="B Lotus" w:hint="cs"/>
          <w:sz w:val="20"/>
          <w:szCs w:val="20"/>
          <w:rtl/>
          <w:lang w:bidi="ar-SA"/>
        </w:rPr>
        <w:t>ص10</w:t>
      </w:r>
    </w:p>
    <w:p w14:paraId="1DB0FC52" w14:textId="625AAF5A" w:rsidR="000D42B3" w:rsidRPr="000D46FD" w:rsidRDefault="000D42B3" w:rsidP="000D46FD">
      <w:pPr>
        <w:pStyle w:val="FootnoteText"/>
        <w:jc w:val="both"/>
        <w:rPr>
          <w:rFonts w:cs="B Lotus"/>
        </w:rPr>
      </w:pPr>
    </w:p>
  </w:footnote>
  <w:footnote w:id="20">
    <w:p w14:paraId="66D3162C" w14:textId="0D136AA1"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قانون جامع حمایت از حقوق معلولان، ص 14ـ15</w:t>
      </w:r>
      <w:r w:rsidRPr="000D46FD">
        <w:rPr>
          <w:rFonts w:ascii="Times New Roman" w:eastAsia="Times New Roman" w:hAnsi="Times New Roman" w:cs="B Lotus"/>
          <w:lang w:bidi="ar-SA"/>
        </w:rPr>
        <w:t>.</w:t>
      </w:r>
    </w:p>
  </w:footnote>
  <w:footnote w:id="21">
    <w:p w14:paraId="7DE19241" w14:textId="09E8889B"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راه خوشبختی</w:t>
      </w:r>
      <w:r w:rsidRPr="000D46FD">
        <w:rPr>
          <w:rFonts w:ascii="Times New Roman" w:eastAsia="Times New Roman" w:hAnsi="Times New Roman" w:cs="B Lotus" w:hint="cs"/>
          <w:rtl/>
          <w:lang w:bidi="ar-SA"/>
        </w:rPr>
        <w:t>(1397)</w:t>
      </w:r>
      <w:r w:rsidRPr="000D46FD">
        <w:rPr>
          <w:rFonts w:ascii="Times New Roman" w:eastAsia="Times New Roman" w:hAnsi="Times New Roman" w:cs="B Lotus"/>
          <w:rtl/>
          <w:lang w:bidi="ar-SA"/>
        </w:rPr>
        <w:t xml:space="preserve"> قانون حمایت از حقوق معلولان و کنوانسیون حقوق معلولان، تهران و قم، کمپین پیگیری حقوق معلولان و دفتر فرهنگ معلولین</w:t>
      </w:r>
    </w:p>
  </w:footnote>
  <w:footnote w:id="22">
    <w:p w14:paraId="2A0072FB" w14:textId="0B610702"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راه خوشبختی: قانون حمایت از حقوق معلولان و کنوانسیون حقوق معلولان، تهران و قم، کمپین پیگیری حقوق معلولان و دفتر فرهنگ معلولین</w:t>
      </w:r>
    </w:p>
  </w:footnote>
  <w:footnote w:id="23">
    <w:p w14:paraId="75EB6983" w14:textId="0915A38A" w:rsidR="000D42B3" w:rsidRPr="000D46FD" w:rsidRDefault="000D42B3" w:rsidP="000D46FD">
      <w:pPr>
        <w:spacing w:before="100" w:beforeAutospacing="1" w:after="100" w:afterAutospacing="1" w:line="240" w:lineRule="auto"/>
        <w:jc w:val="both"/>
        <w:rPr>
          <w:rFonts w:ascii="Times New Roman" w:eastAsia="Times New Roman" w:hAnsi="Times New Roman" w:cs="B Lotus"/>
          <w:sz w:val="20"/>
          <w:szCs w:val="20"/>
          <w:lang w:bidi="ar-SA"/>
        </w:rPr>
      </w:pPr>
      <w:r w:rsidRPr="000D46FD">
        <w:rPr>
          <w:rStyle w:val="FootnoteReference"/>
          <w:rFonts w:cs="B Lotus"/>
          <w:sz w:val="20"/>
          <w:szCs w:val="20"/>
        </w:rPr>
        <w:footnoteRef/>
      </w:r>
      <w:r w:rsidRPr="000D46FD">
        <w:rPr>
          <w:rFonts w:cs="B Lotus"/>
          <w:sz w:val="20"/>
          <w:szCs w:val="20"/>
          <w:rtl/>
        </w:rPr>
        <w:t xml:space="preserve"> </w:t>
      </w:r>
      <w:r w:rsidRPr="000D46FD">
        <w:rPr>
          <w:rFonts w:ascii="Times New Roman" w:eastAsia="Times New Roman" w:hAnsi="Times New Roman" w:cs="B Lotus"/>
          <w:sz w:val="20"/>
          <w:szCs w:val="20"/>
          <w:rtl/>
          <w:lang w:bidi="ar-SA"/>
        </w:rPr>
        <w:t>مرادزاده حسن و دیگران،</w:t>
      </w:r>
      <w:r w:rsidRPr="000D46FD">
        <w:rPr>
          <w:rFonts w:ascii="Times New Roman" w:eastAsia="Times New Roman" w:hAnsi="Times New Roman" w:cs="B Lotus" w:hint="cs"/>
          <w:sz w:val="20"/>
          <w:szCs w:val="20"/>
          <w:rtl/>
          <w:lang w:bidi="ar-SA"/>
        </w:rPr>
        <w:t>(1395)</w:t>
      </w:r>
      <w:r w:rsidRPr="000D46FD">
        <w:rPr>
          <w:rFonts w:ascii="Times New Roman" w:eastAsia="Times New Roman" w:hAnsi="Times New Roman" w:cs="B Lotus"/>
          <w:sz w:val="20"/>
          <w:szCs w:val="20"/>
          <w:rtl/>
          <w:lang w:bidi="ar-SA"/>
        </w:rPr>
        <w:t xml:space="preserve"> کنوانسیون بین‌المللی حقوق معلولین و اجرای آن در ایران، تهران، شهر دانش، </w:t>
      </w:r>
      <w:r w:rsidRPr="000D46FD">
        <w:rPr>
          <w:rFonts w:ascii="Times New Roman" w:eastAsia="Times New Roman" w:hAnsi="Times New Roman" w:cs="B Lotus" w:hint="cs"/>
          <w:sz w:val="20"/>
          <w:szCs w:val="20"/>
          <w:rtl/>
          <w:lang w:bidi="ar-SA"/>
        </w:rPr>
        <w:t>ص17</w:t>
      </w:r>
    </w:p>
  </w:footnote>
  <w:footnote w:id="24">
    <w:p w14:paraId="5608A16B" w14:textId="0B767794"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همان، ص 172ـ173</w:t>
      </w:r>
    </w:p>
  </w:footnote>
  <w:footnote w:id="25">
    <w:p w14:paraId="325BA4EE" w14:textId="39C7AC12"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زارعی بابک و حسین</w:t>
      </w:r>
      <w:r w:rsidRPr="000D46FD">
        <w:rPr>
          <w:rFonts w:ascii="Times New Roman" w:eastAsia="Times New Roman" w:hAnsi="Times New Roman" w:cs="B Lotus" w:hint="cs"/>
          <w:rtl/>
          <w:lang w:bidi="ar-SA"/>
        </w:rPr>
        <w:t>(1398)</w:t>
      </w:r>
      <w:r w:rsidRPr="000D46FD">
        <w:rPr>
          <w:rFonts w:ascii="Times New Roman" w:eastAsia="Times New Roman" w:hAnsi="Times New Roman" w:cs="B Lotus"/>
          <w:rtl/>
          <w:lang w:bidi="ar-SA"/>
        </w:rPr>
        <w:t xml:space="preserve"> نگهداری پیشگیری وضعی در قبال جرایم علیه معلولین، ، تهران، اندیشه رشد، </w:t>
      </w:r>
      <w:r w:rsidRPr="000D46FD">
        <w:rPr>
          <w:rFonts w:ascii="Times New Roman" w:eastAsia="Times New Roman" w:hAnsi="Times New Roman" w:cs="B Lotus" w:hint="cs"/>
          <w:rtl/>
          <w:lang w:bidi="ar-SA"/>
        </w:rPr>
        <w:t>ص122</w:t>
      </w:r>
    </w:p>
  </w:footnote>
  <w:footnote w:id="26">
    <w:p w14:paraId="5DBB8C11" w14:textId="67D4AB7B"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زارعی بابک و حسین</w:t>
      </w:r>
      <w:r w:rsidRPr="000D46FD">
        <w:rPr>
          <w:rFonts w:ascii="Times New Roman" w:eastAsia="Times New Roman" w:hAnsi="Times New Roman" w:cs="B Lotus" w:hint="cs"/>
          <w:rtl/>
          <w:lang w:bidi="ar-SA"/>
        </w:rPr>
        <w:t>(1398)</w:t>
      </w:r>
      <w:r w:rsidRPr="000D46FD">
        <w:rPr>
          <w:rFonts w:ascii="Times New Roman" w:eastAsia="Times New Roman" w:hAnsi="Times New Roman" w:cs="B Lotus"/>
          <w:rtl/>
          <w:lang w:bidi="ar-SA"/>
        </w:rPr>
        <w:t xml:space="preserve"> نگهداری پیشگیری وضعی در قبال جرایم علیه معلولین، ، تهران، اندیشه رشد، </w:t>
      </w:r>
      <w:r w:rsidRPr="000D46FD">
        <w:rPr>
          <w:rFonts w:ascii="Times New Roman" w:eastAsia="Times New Roman" w:hAnsi="Times New Roman" w:cs="B Lotus" w:hint="cs"/>
          <w:rtl/>
          <w:lang w:bidi="ar-SA"/>
        </w:rPr>
        <w:t>ص117</w:t>
      </w:r>
    </w:p>
  </w:footnote>
  <w:footnote w:id="27">
    <w:p w14:paraId="4FAB3398" w14:textId="23BBEC1E"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مصوب 1375، ماده 619</w:t>
      </w:r>
      <w:r w:rsidRPr="000D46FD">
        <w:rPr>
          <w:rFonts w:ascii="Times New Roman" w:eastAsia="Times New Roman" w:hAnsi="Times New Roman" w:cs="B Lotus"/>
          <w:lang w:bidi="ar-SA"/>
        </w:rPr>
        <w:t>.</w:t>
      </w:r>
    </w:p>
  </w:footnote>
  <w:footnote w:id="28">
    <w:p w14:paraId="2E76A2C5" w14:textId="6BF80958"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مصوب 1375، ماده 619</w:t>
      </w:r>
      <w:r w:rsidRPr="000D46FD">
        <w:rPr>
          <w:rFonts w:ascii="Times New Roman" w:eastAsia="Times New Roman" w:hAnsi="Times New Roman" w:cs="B Lotus"/>
          <w:lang w:bidi="ar-SA"/>
        </w:rPr>
        <w:t>.</w:t>
      </w:r>
    </w:p>
  </w:footnote>
  <w:footnote w:id="29">
    <w:p w14:paraId="64562E72" w14:textId="00A3CADF"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00AB1BE5" w:rsidRPr="000D46FD">
        <w:rPr>
          <w:rFonts w:ascii="Times New Roman" w:eastAsia="Times New Roman" w:hAnsi="Times New Roman" w:cs="B Lotus"/>
          <w:rtl/>
          <w:lang w:bidi="ar-SA"/>
        </w:rPr>
        <w:t>قانون مبارزه با قاچاق انسان، مصوب 1383، ماده 3، تبصره 1</w:t>
      </w:r>
      <w:r w:rsidR="00AB1BE5" w:rsidRPr="000D46FD">
        <w:rPr>
          <w:rFonts w:ascii="Times New Roman" w:eastAsia="Times New Roman" w:hAnsi="Times New Roman" w:cs="B Lotus"/>
          <w:lang w:bidi="ar-SA"/>
        </w:rPr>
        <w:t>.</w:t>
      </w:r>
    </w:p>
  </w:footnote>
  <w:footnote w:id="30">
    <w:p w14:paraId="15AAB132" w14:textId="60F317D2" w:rsidR="00AB1BE5" w:rsidRPr="000D46FD" w:rsidRDefault="00AB1BE5"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قانون مراقبت از کودک مصوب 1980، ماده 3</w:t>
      </w:r>
      <w:r w:rsidRPr="000D46FD">
        <w:rPr>
          <w:rFonts w:ascii="Times New Roman" w:eastAsia="Times New Roman" w:hAnsi="Times New Roman" w:cs="B Lotus"/>
          <w:lang w:bidi="ar-SA"/>
        </w:rPr>
        <w:t>.</w:t>
      </w:r>
    </w:p>
  </w:footnote>
  <w:footnote w:id="31">
    <w:p w14:paraId="69C79CC1" w14:textId="2574E093" w:rsidR="000D42B3" w:rsidRPr="000D46FD" w:rsidRDefault="000D42B3" w:rsidP="000D46FD">
      <w:pPr>
        <w:pStyle w:val="FootnoteText"/>
        <w:jc w:val="both"/>
        <w:rPr>
          <w:rFonts w:cs="B Lotus"/>
        </w:rPr>
      </w:pPr>
      <w:r w:rsidRPr="000D46FD">
        <w:rPr>
          <w:rStyle w:val="FootnoteReference"/>
          <w:rFonts w:cs="B Lotus"/>
        </w:rPr>
        <w:footnoteRef/>
      </w:r>
      <w:r w:rsidRPr="000D46FD">
        <w:rPr>
          <w:rFonts w:cs="B Lotus"/>
          <w:rtl/>
        </w:rPr>
        <w:t xml:space="preserve"> </w:t>
      </w:r>
      <w:r w:rsidR="00AB1BE5" w:rsidRPr="000D46FD">
        <w:rPr>
          <w:rFonts w:ascii="Times New Roman" w:eastAsia="Times New Roman" w:hAnsi="Times New Roman" w:cs="B Lotus"/>
          <w:rtl/>
          <w:lang w:bidi="ar-SA"/>
        </w:rPr>
        <w:t>مواد 639 و 640</w:t>
      </w:r>
      <w:r w:rsidR="00AB1BE5" w:rsidRPr="000D46FD">
        <w:rPr>
          <w:rFonts w:ascii="Times New Roman" w:eastAsia="Times New Roman" w:hAnsi="Times New Roman" w:cs="B Lotus"/>
          <w:lang w:bidi="ar-SA"/>
        </w:rPr>
        <w:t>.</w:t>
      </w:r>
    </w:p>
  </w:footnote>
  <w:footnote w:id="32">
    <w:p w14:paraId="435B97FE" w14:textId="603E5420" w:rsidR="00AB1BE5" w:rsidRPr="000D46FD" w:rsidRDefault="00AB1BE5"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همان، ماده 716</w:t>
      </w:r>
      <w:r w:rsidRPr="000D46FD">
        <w:rPr>
          <w:rFonts w:ascii="Times New Roman" w:eastAsia="Times New Roman" w:hAnsi="Times New Roman" w:cs="B Lotus"/>
          <w:lang w:bidi="ar-SA"/>
        </w:rPr>
        <w:t>.</w:t>
      </w:r>
    </w:p>
  </w:footnote>
  <w:footnote w:id="33">
    <w:p w14:paraId="50206194" w14:textId="57AC0EFE" w:rsidR="00AB1BE5" w:rsidRPr="000D46FD" w:rsidRDefault="00AB1BE5" w:rsidP="000D46FD">
      <w:pPr>
        <w:pStyle w:val="FootnoteText"/>
        <w:jc w:val="both"/>
        <w:rPr>
          <w:rFonts w:cs="B Lotus"/>
        </w:rPr>
      </w:pPr>
      <w:r w:rsidRPr="000D46FD">
        <w:rPr>
          <w:rStyle w:val="FootnoteReference"/>
          <w:rFonts w:cs="B Lotus"/>
        </w:rPr>
        <w:footnoteRef/>
      </w:r>
      <w:r w:rsidRPr="000D46FD">
        <w:rPr>
          <w:rFonts w:cs="B Lotus"/>
          <w:rtl/>
        </w:rPr>
        <w:t xml:space="preserve"> </w:t>
      </w:r>
      <w:r w:rsidRPr="000D46FD">
        <w:rPr>
          <w:rFonts w:ascii="Times New Roman" w:eastAsia="Times New Roman" w:hAnsi="Times New Roman" w:cs="B Lotus"/>
          <w:rtl/>
          <w:lang w:bidi="ar-SA"/>
        </w:rPr>
        <w:t>زارعی بابک و حسین</w:t>
      </w:r>
      <w:r w:rsidRPr="000D46FD">
        <w:rPr>
          <w:rFonts w:ascii="Times New Roman" w:eastAsia="Times New Roman" w:hAnsi="Times New Roman" w:cs="B Lotus" w:hint="cs"/>
          <w:rtl/>
          <w:lang w:bidi="ar-SA"/>
        </w:rPr>
        <w:t>(1398)</w:t>
      </w:r>
      <w:r w:rsidRPr="000D46FD">
        <w:rPr>
          <w:rFonts w:ascii="Times New Roman" w:eastAsia="Times New Roman" w:hAnsi="Times New Roman" w:cs="B Lotus"/>
          <w:rtl/>
          <w:lang w:bidi="ar-SA"/>
        </w:rPr>
        <w:t xml:space="preserve"> نگهداری پیشگیری وضعی در قبال جرایم علیه معلولین، ، تهران، اندیشه رشد، </w:t>
      </w:r>
      <w:r w:rsidRPr="000D46FD">
        <w:rPr>
          <w:rFonts w:ascii="Times New Roman" w:eastAsia="Times New Roman" w:hAnsi="Times New Roman" w:cs="B Lotus" w:hint="cs"/>
          <w:rtl/>
          <w:lang w:bidi="ar-SA"/>
        </w:rPr>
        <w:t>ص124</w:t>
      </w:r>
    </w:p>
  </w:footnote>
  <w:footnote w:id="34">
    <w:p w14:paraId="0E0FDB3E" w14:textId="5AFF7189" w:rsidR="00B80B4D" w:rsidRPr="000D46FD" w:rsidRDefault="00B80B4D" w:rsidP="000D46FD">
      <w:pPr>
        <w:pStyle w:val="Heading1"/>
        <w:spacing w:line="240" w:lineRule="auto"/>
        <w:jc w:val="both"/>
        <w:rPr>
          <w:rFonts w:ascii="Times New Roman" w:eastAsia="Times New Roman" w:hAnsi="Times New Roman"/>
          <w:b w:val="0"/>
          <w:color w:val="auto"/>
          <w:kern w:val="36"/>
          <w:sz w:val="20"/>
          <w:szCs w:val="20"/>
          <w:lang w:bidi="ar-SA"/>
        </w:rPr>
      </w:pPr>
      <w:r w:rsidRPr="000D46FD">
        <w:rPr>
          <w:rStyle w:val="FootnoteReference"/>
          <w:b w:val="0"/>
          <w:color w:val="auto"/>
          <w:sz w:val="20"/>
          <w:szCs w:val="20"/>
        </w:rPr>
        <w:footnoteRef/>
      </w:r>
      <w:r w:rsidRPr="000D46FD">
        <w:rPr>
          <w:b w:val="0"/>
          <w:color w:val="auto"/>
          <w:sz w:val="20"/>
          <w:szCs w:val="20"/>
          <w:rtl/>
        </w:rPr>
        <w:t xml:space="preserve"> </w:t>
      </w:r>
      <w:r w:rsidRPr="000D46FD">
        <w:rPr>
          <w:rFonts w:hint="cs"/>
          <w:b w:val="0"/>
          <w:color w:val="auto"/>
          <w:sz w:val="20"/>
          <w:szCs w:val="20"/>
          <w:rtl/>
        </w:rPr>
        <w:t>شریعتی، آذین، (1389)</w:t>
      </w:r>
      <w:r w:rsidRPr="000D46FD">
        <w:rPr>
          <w:rFonts w:ascii="Times New Roman" w:eastAsia="Times New Roman" w:hAnsi="Times New Roman"/>
          <w:b w:val="0"/>
          <w:color w:val="auto"/>
          <w:kern w:val="36"/>
          <w:sz w:val="20"/>
          <w:szCs w:val="20"/>
          <w:rtl/>
          <w:lang w:bidi="ar-SA"/>
        </w:rPr>
        <w:t xml:space="preserve"> پیشگیری از بزه دیدگی سالمندان</w:t>
      </w:r>
      <w:r w:rsidRPr="000D46FD">
        <w:rPr>
          <w:b w:val="0"/>
          <w:color w:val="auto"/>
          <w:sz w:val="20"/>
          <w:szCs w:val="20"/>
          <w:rtl/>
        </w:rPr>
        <w:t xml:space="preserve"> وزارت علوم، تحقیقات و فناوری - دانشگاه علامه طباطبایی</w:t>
      </w:r>
      <w:r w:rsidRPr="000D46FD">
        <w:rPr>
          <w:rFonts w:hint="cs"/>
          <w:b w:val="0"/>
          <w:color w:val="auto"/>
          <w:sz w:val="20"/>
          <w:szCs w:val="20"/>
          <w:rtl/>
        </w:rPr>
        <w:t xml:space="preserve"> ص2</w:t>
      </w:r>
    </w:p>
    <w:p w14:paraId="7E86A646" w14:textId="115A9CAA" w:rsidR="00B80B4D" w:rsidRPr="000D46FD" w:rsidRDefault="00B80B4D" w:rsidP="000D46FD">
      <w:pPr>
        <w:pStyle w:val="FootnoteText"/>
        <w:jc w:val="both"/>
        <w:rPr>
          <w:rFonts w:cs="B Lot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B3FFE" w14:textId="77777777" w:rsidR="00992EB8" w:rsidRDefault="00992E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D96D8" w14:textId="77777777" w:rsidR="00992EB8" w:rsidRDefault="00992E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33AA9" w14:textId="77777777" w:rsidR="00992EB8" w:rsidRDefault="00992E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059CD"/>
    <w:multiLevelType w:val="multilevel"/>
    <w:tmpl w:val="8A0C8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C56C3E"/>
    <w:multiLevelType w:val="multilevel"/>
    <w:tmpl w:val="99028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935"/>
    <w:rsid w:val="00001565"/>
    <w:rsid w:val="0000753F"/>
    <w:rsid w:val="000854C7"/>
    <w:rsid w:val="00090908"/>
    <w:rsid w:val="000A1685"/>
    <w:rsid w:val="000A5E92"/>
    <w:rsid w:val="000B1F12"/>
    <w:rsid w:val="000B2EBE"/>
    <w:rsid w:val="000C7F9B"/>
    <w:rsid w:val="000D42B3"/>
    <w:rsid w:val="000D46FD"/>
    <w:rsid w:val="000D7AA8"/>
    <w:rsid w:val="000F2CB8"/>
    <w:rsid w:val="001041E4"/>
    <w:rsid w:val="001132D3"/>
    <w:rsid w:val="001149A1"/>
    <w:rsid w:val="00131C74"/>
    <w:rsid w:val="00176A41"/>
    <w:rsid w:val="001910F1"/>
    <w:rsid w:val="00194772"/>
    <w:rsid w:val="001A0029"/>
    <w:rsid w:val="001B64DC"/>
    <w:rsid w:val="001D3EA3"/>
    <w:rsid w:val="002345AD"/>
    <w:rsid w:val="002367F0"/>
    <w:rsid w:val="00282D15"/>
    <w:rsid w:val="002A3FDF"/>
    <w:rsid w:val="002B13C4"/>
    <w:rsid w:val="002B3829"/>
    <w:rsid w:val="002E717E"/>
    <w:rsid w:val="00343956"/>
    <w:rsid w:val="00361642"/>
    <w:rsid w:val="003711F9"/>
    <w:rsid w:val="00384D94"/>
    <w:rsid w:val="00392FBF"/>
    <w:rsid w:val="003B7227"/>
    <w:rsid w:val="003C1CFB"/>
    <w:rsid w:val="003C4C3F"/>
    <w:rsid w:val="003D336D"/>
    <w:rsid w:val="004117E0"/>
    <w:rsid w:val="00412BEA"/>
    <w:rsid w:val="0046303C"/>
    <w:rsid w:val="00484847"/>
    <w:rsid w:val="0048656B"/>
    <w:rsid w:val="004A76FC"/>
    <w:rsid w:val="004C3828"/>
    <w:rsid w:val="004E1E6C"/>
    <w:rsid w:val="004E4F18"/>
    <w:rsid w:val="004F0679"/>
    <w:rsid w:val="004F1BA6"/>
    <w:rsid w:val="004F5492"/>
    <w:rsid w:val="00501E0A"/>
    <w:rsid w:val="005058E1"/>
    <w:rsid w:val="0051486B"/>
    <w:rsid w:val="00521B35"/>
    <w:rsid w:val="0052519C"/>
    <w:rsid w:val="005305B5"/>
    <w:rsid w:val="005347DB"/>
    <w:rsid w:val="00535FF4"/>
    <w:rsid w:val="005375E6"/>
    <w:rsid w:val="00537889"/>
    <w:rsid w:val="0053792F"/>
    <w:rsid w:val="005402B2"/>
    <w:rsid w:val="00584029"/>
    <w:rsid w:val="0058512A"/>
    <w:rsid w:val="00593195"/>
    <w:rsid w:val="005964E5"/>
    <w:rsid w:val="005E3DA0"/>
    <w:rsid w:val="005E53E5"/>
    <w:rsid w:val="00655340"/>
    <w:rsid w:val="00670CE0"/>
    <w:rsid w:val="00691B01"/>
    <w:rsid w:val="00696F7D"/>
    <w:rsid w:val="006F4369"/>
    <w:rsid w:val="00700A08"/>
    <w:rsid w:val="0070424B"/>
    <w:rsid w:val="007932F2"/>
    <w:rsid w:val="007B42BE"/>
    <w:rsid w:val="007D11B9"/>
    <w:rsid w:val="007D23BE"/>
    <w:rsid w:val="007D690F"/>
    <w:rsid w:val="007D7D04"/>
    <w:rsid w:val="007E6935"/>
    <w:rsid w:val="007F424B"/>
    <w:rsid w:val="008048B9"/>
    <w:rsid w:val="0081439A"/>
    <w:rsid w:val="008206A3"/>
    <w:rsid w:val="00820BC7"/>
    <w:rsid w:val="00841111"/>
    <w:rsid w:val="00866D80"/>
    <w:rsid w:val="00877A8C"/>
    <w:rsid w:val="008967F0"/>
    <w:rsid w:val="00897B60"/>
    <w:rsid w:val="008B611E"/>
    <w:rsid w:val="008F3464"/>
    <w:rsid w:val="00931594"/>
    <w:rsid w:val="00947963"/>
    <w:rsid w:val="00956E1C"/>
    <w:rsid w:val="009654EE"/>
    <w:rsid w:val="009853EA"/>
    <w:rsid w:val="00992EB8"/>
    <w:rsid w:val="009B3F99"/>
    <w:rsid w:val="009B5615"/>
    <w:rsid w:val="009B6852"/>
    <w:rsid w:val="009C56F7"/>
    <w:rsid w:val="009E78A5"/>
    <w:rsid w:val="00A07E4C"/>
    <w:rsid w:val="00A82479"/>
    <w:rsid w:val="00A915AF"/>
    <w:rsid w:val="00AA2A79"/>
    <w:rsid w:val="00AB1BE5"/>
    <w:rsid w:val="00AF3BCA"/>
    <w:rsid w:val="00AF528E"/>
    <w:rsid w:val="00AF7025"/>
    <w:rsid w:val="00B13184"/>
    <w:rsid w:val="00B13327"/>
    <w:rsid w:val="00B13A3C"/>
    <w:rsid w:val="00B15C9C"/>
    <w:rsid w:val="00B32DAB"/>
    <w:rsid w:val="00B557F9"/>
    <w:rsid w:val="00B57DF5"/>
    <w:rsid w:val="00B80B4D"/>
    <w:rsid w:val="00BC5149"/>
    <w:rsid w:val="00BE01A8"/>
    <w:rsid w:val="00C1030E"/>
    <w:rsid w:val="00C25194"/>
    <w:rsid w:val="00C45AE2"/>
    <w:rsid w:val="00CB0070"/>
    <w:rsid w:val="00CF6B26"/>
    <w:rsid w:val="00D058B7"/>
    <w:rsid w:val="00D20C31"/>
    <w:rsid w:val="00D57642"/>
    <w:rsid w:val="00D861B0"/>
    <w:rsid w:val="00D9558E"/>
    <w:rsid w:val="00DA7D10"/>
    <w:rsid w:val="00DB2523"/>
    <w:rsid w:val="00DB4ADC"/>
    <w:rsid w:val="00DB4C53"/>
    <w:rsid w:val="00E26779"/>
    <w:rsid w:val="00E51A93"/>
    <w:rsid w:val="00E532F9"/>
    <w:rsid w:val="00E63F16"/>
    <w:rsid w:val="00E7600C"/>
    <w:rsid w:val="00ED3E07"/>
    <w:rsid w:val="00F17D5E"/>
    <w:rsid w:val="00F20BC9"/>
    <w:rsid w:val="00F26BE6"/>
    <w:rsid w:val="00F33F38"/>
    <w:rsid w:val="00F4459B"/>
    <w:rsid w:val="00F7629A"/>
    <w:rsid w:val="00FB05C4"/>
    <w:rsid w:val="00FB0DC4"/>
    <w:rsid w:val="00FC3DC1"/>
    <w:rsid w:val="00FD5C2B"/>
    <w:rsid w:val="00FD66BF"/>
    <w:rsid w:val="00FE3464"/>
    <w:rsid w:val="00FE42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next w:val="Normal"/>
    <w:link w:val="Heading1Char"/>
    <w:uiPriority w:val="9"/>
    <w:unhideWhenUsed/>
    <w:qFormat/>
    <w:rsid w:val="001149A1"/>
    <w:pPr>
      <w:keepNext/>
      <w:keepLines/>
      <w:bidi/>
      <w:spacing w:after="178"/>
      <w:ind w:left="10" w:hanging="10"/>
      <w:outlineLvl w:val="0"/>
    </w:pPr>
    <w:rPr>
      <w:rFonts w:ascii="B Lotus" w:eastAsia="B Lotus" w:hAnsi="B Lotus" w:cs="B Lotus"/>
      <w:b/>
      <w:color w:val="000000"/>
      <w:sz w:val="30"/>
    </w:rPr>
  </w:style>
  <w:style w:type="paragraph" w:styleId="Heading2">
    <w:name w:val="heading 2"/>
    <w:basedOn w:val="Normal"/>
    <w:next w:val="Normal"/>
    <w:link w:val="Heading2Char"/>
    <w:uiPriority w:val="9"/>
    <w:unhideWhenUsed/>
    <w:qFormat/>
    <w:rsid w:val="00956E1C"/>
    <w:pPr>
      <w:keepNext/>
      <w:keepLines/>
      <w:spacing w:before="40" w:after="0"/>
      <w:outlineLvl w:val="1"/>
    </w:pPr>
    <w:rPr>
      <w:rFonts w:asciiTheme="majorHAnsi" w:eastAsiaTheme="majorEastAsia" w:hAnsiTheme="majorHAnsi" w:cs="B Lotus"/>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9A1"/>
    <w:rPr>
      <w:rFonts w:ascii="B Lotus" w:eastAsia="B Lotus" w:hAnsi="B Lotus" w:cs="B Lotus"/>
      <w:b/>
      <w:color w:val="000000"/>
      <w:sz w:val="30"/>
    </w:rPr>
  </w:style>
  <w:style w:type="numbering" w:customStyle="1" w:styleId="NoList1">
    <w:name w:val="No List1"/>
    <w:next w:val="NoList"/>
    <w:uiPriority w:val="99"/>
    <w:semiHidden/>
    <w:unhideWhenUsed/>
    <w:rsid w:val="001149A1"/>
  </w:style>
  <w:style w:type="paragraph" w:customStyle="1" w:styleId="footnotedescription">
    <w:name w:val="footnote description"/>
    <w:next w:val="Normal"/>
    <w:link w:val="footnotedescriptionChar"/>
    <w:hidden/>
    <w:rsid w:val="001149A1"/>
    <w:pPr>
      <w:spacing w:after="0"/>
      <w:ind w:left="97" w:right="132"/>
    </w:pPr>
    <w:rPr>
      <w:rFonts w:ascii="B Lotus" w:eastAsia="B Lotus" w:hAnsi="B Lotus" w:cs="B Lotus"/>
      <w:color w:val="000000"/>
    </w:rPr>
  </w:style>
  <w:style w:type="character" w:customStyle="1" w:styleId="footnotedescriptionChar">
    <w:name w:val="footnote description Char"/>
    <w:link w:val="footnotedescription"/>
    <w:rsid w:val="001149A1"/>
    <w:rPr>
      <w:rFonts w:ascii="B Lotus" w:eastAsia="B Lotus" w:hAnsi="B Lotus" w:cs="B Lotus"/>
      <w:color w:val="000000"/>
    </w:rPr>
  </w:style>
  <w:style w:type="character" w:customStyle="1" w:styleId="footnotemark">
    <w:name w:val="footnote mark"/>
    <w:hidden/>
    <w:rsid w:val="001149A1"/>
    <w:rPr>
      <w:rFonts w:ascii="B Lotus" w:eastAsia="B Lotus" w:hAnsi="B Lotus" w:cs="B Lotus"/>
      <w:color w:val="000000"/>
      <w:sz w:val="22"/>
      <w:vertAlign w:val="superscript"/>
    </w:rPr>
  </w:style>
  <w:style w:type="character" w:customStyle="1" w:styleId="Heading2Char">
    <w:name w:val="Heading 2 Char"/>
    <w:basedOn w:val="DefaultParagraphFont"/>
    <w:link w:val="Heading2"/>
    <w:uiPriority w:val="9"/>
    <w:rsid w:val="00956E1C"/>
    <w:rPr>
      <w:rFonts w:asciiTheme="majorHAnsi" w:eastAsiaTheme="majorEastAsia" w:hAnsiTheme="majorHAnsi" w:cs="B Lotus"/>
      <w:bCs/>
      <w:sz w:val="26"/>
      <w:szCs w:val="28"/>
    </w:rPr>
  </w:style>
  <w:style w:type="paragraph" w:styleId="TOCHeading">
    <w:name w:val="TOC Heading"/>
    <w:basedOn w:val="Heading1"/>
    <w:next w:val="Normal"/>
    <w:uiPriority w:val="39"/>
    <w:unhideWhenUsed/>
    <w:qFormat/>
    <w:rsid w:val="00B13327"/>
    <w:pPr>
      <w:bidi w:val="0"/>
      <w:spacing w:before="240" w:after="0"/>
      <w:ind w:left="0" w:firstLine="0"/>
      <w:outlineLvl w:val="9"/>
    </w:pPr>
    <w:rPr>
      <w:rFonts w:asciiTheme="majorHAnsi" w:eastAsiaTheme="majorEastAsia" w:hAnsiTheme="majorHAnsi" w:cstheme="majorBidi"/>
      <w:b w:val="0"/>
      <w:color w:val="2E74B5" w:themeColor="accent1" w:themeShade="BF"/>
      <w:sz w:val="32"/>
      <w:szCs w:val="32"/>
      <w:lang w:bidi="ar-SA"/>
    </w:rPr>
  </w:style>
  <w:style w:type="paragraph" w:styleId="TOC2">
    <w:name w:val="toc 2"/>
    <w:basedOn w:val="Normal"/>
    <w:next w:val="Normal"/>
    <w:autoRedefine/>
    <w:uiPriority w:val="39"/>
    <w:unhideWhenUsed/>
    <w:rsid w:val="00B13327"/>
    <w:pPr>
      <w:spacing w:after="100"/>
      <w:ind w:left="220"/>
    </w:pPr>
  </w:style>
  <w:style w:type="paragraph" w:styleId="TOC1">
    <w:name w:val="toc 1"/>
    <w:basedOn w:val="Normal"/>
    <w:next w:val="Normal"/>
    <w:autoRedefine/>
    <w:uiPriority w:val="39"/>
    <w:unhideWhenUsed/>
    <w:rsid w:val="00B13327"/>
    <w:pPr>
      <w:spacing w:after="100"/>
    </w:pPr>
  </w:style>
  <w:style w:type="paragraph" w:styleId="TOC3">
    <w:name w:val="toc 3"/>
    <w:basedOn w:val="Normal"/>
    <w:next w:val="Normal"/>
    <w:autoRedefine/>
    <w:uiPriority w:val="39"/>
    <w:unhideWhenUsed/>
    <w:rsid w:val="00B13327"/>
    <w:pPr>
      <w:spacing w:after="100"/>
      <w:ind w:left="440"/>
    </w:pPr>
    <w:rPr>
      <w:rFonts w:eastAsiaTheme="minorEastAsia"/>
    </w:rPr>
  </w:style>
  <w:style w:type="paragraph" w:styleId="TOC4">
    <w:name w:val="toc 4"/>
    <w:basedOn w:val="Normal"/>
    <w:next w:val="Normal"/>
    <w:autoRedefine/>
    <w:uiPriority w:val="39"/>
    <w:unhideWhenUsed/>
    <w:rsid w:val="00B13327"/>
    <w:pPr>
      <w:spacing w:after="100"/>
      <w:ind w:left="660"/>
    </w:pPr>
    <w:rPr>
      <w:rFonts w:eastAsiaTheme="minorEastAsia"/>
    </w:rPr>
  </w:style>
  <w:style w:type="paragraph" w:styleId="TOC5">
    <w:name w:val="toc 5"/>
    <w:basedOn w:val="Normal"/>
    <w:next w:val="Normal"/>
    <w:autoRedefine/>
    <w:uiPriority w:val="39"/>
    <w:unhideWhenUsed/>
    <w:rsid w:val="00B13327"/>
    <w:pPr>
      <w:spacing w:after="100"/>
      <w:ind w:left="880"/>
    </w:pPr>
    <w:rPr>
      <w:rFonts w:eastAsiaTheme="minorEastAsia"/>
    </w:rPr>
  </w:style>
  <w:style w:type="paragraph" w:styleId="TOC6">
    <w:name w:val="toc 6"/>
    <w:basedOn w:val="Normal"/>
    <w:next w:val="Normal"/>
    <w:autoRedefine/>
    <w:uiPriority w:val="39"/>
    <w:unhideWhenUsed/>
    <w:rsid w:val="00B13327"/>
    <w:pPr>
      <w:spacing w:after="100"/>
      <w:ind w:left="1100"/>
    </w:pPr>
    <w:rPr>
      <w:rFonts w:eastAsiaTheme="minorEastAsia"/>
    </w:rPr>
  </w:style>
  <w:style w:type="paragraph" w:styleId="TOC7">
    <w:name w:val="toc 7"/>
    <w:basedOn w:val="Normal"/>
    <w:next w:val="Normal"/>
    <w:autoRedefine/>
    <w:uiPriority w:val="39"/>
    <w:unhideWhenUsed/>
    <w:rsid w:val="00B13327"/>
    <w:pPr>
      <w:spacing w:after="100"/>
      <w:ind w:left="1320"/>
    </w:pPr>
    <w:rPr>
      <w:rFonts w:eastAsiaTheme="minorEastAsia"/>
    </w:rPr>
  </w:style>
  <w:style w:type="paragraph" w:styleId="TOC8">
    <w:name w:val="toc 8"/>
    <w:basedOn w:val="Normal"/>
    <w:next w:val="Normal"/>
    <w:autoRedefine/>
    <w:uiPriority w:val="39"/>
    <w:unhideWhenUsed/>
    <w:rsid w:val="00B13327"/>
    <w:pPr>
      <w:spacing w:after="100"/>
      <w:ind w:left="1540"/>
    </w:pPr>
    <w:rPr>
      <w:rFonts w:eastAsiaTheme="minorEastAsia"/>
    </w:rPr>
  </w:style>
  <w:style w:type="paragraph" w:styleId="TOC9">
    <w:name w:val="toc 9"/>
    <w:basedOn w:val="Normal"/>
    <w:next w:val="Normal"/>
    <w:autoRedefine/>
    <w:uiPriority w:val="39"/>
    <w:unhideWhenUsed/>
    <w:rsid w:val="00B13327"/>
    <w:pPr>
      <w:spacing w:after="100"/>
      <w:ind w:left="1760"/>
    </w:pPr>
    <w:rPr>
      <w:rFonts w:eastAsiaTheme="minorEastAsia"/>
    </w:rPr>
  </w:style>
  <w:style w:type="character" w:styleId="Hyperlink">
    <w:name w:val="Hyperlink"/>
    <w:basedOn w:val="DefaultParagraphFont"/>
    <w:uiPriority w:val="99"/>
    <w:unhideWhenUsed/>
    <w:rsid w:val="00B13327"/>
    <w:rPr>
      <w:color w:val="0563C1" w:themeColor="hyperlink"/>
      <w:u w:val="single"/>
    </w:rPr>
  </w:style>
  <w:style w:type="paragraph" w:styleId="FootnoteText">
    <w:name w:val="footnote text"/>
    <w:aliases w:val="پاورقي"/>
    <w:basedOn w:val="Normal"/>
    <w:link w:val="FootnoteTextChar"/>
    <w:unhideWhenUsed/>
    <w:qFormat/>
    <w:rsid w:val="00F17D5E"/>
    <w:pPr>
      <w:spacing w:after="0" w:line="240" w:lineRule="auto"/>
    </w:pPr>
    <w:rPr>
      <w:sz w:val="20"/>
      <w:szCs w:val="20"/>
    </w:rPr>
  </w:style>
  <w:style w:type="character" w:customStyle="1" w:styleId="FootnoteTextChar">
    <w:name w:val="Footnote Text Char"/>
    <w:aliases w:val="پاورقي Char"/>
    <w:basedOn w:val="DefaultParagraphFont"/>
    <w:link w:val="FootnoteText"/>
    <w:rsid w:val="00F17D5E"/>
    <w:rPr>
      <w:sz w:val="20"/>
      <w:szCs w:val="20"/>
    </w:rPr>
  </w:style>
  <w:style w:type="character" w:styleId="FootnoteReference">
    <w:name w:val="footnote reference"/>
    <w:basedOn w:val="DefaultParagraphFont"/>
    <w:unhideWhenUsed/>
    <w:rsid w:val="00F17D5E"/>
    <w:rPr>
      <w:vertAlign w:val="superscript"/>
    </w:rPr>
  </w:style>
  <w:style w:type="paragraph" w:styleId="ListParagraph">
    <w:name w:val="List Paragraph"/>
    <w:basedOn w:val="Normal"/>
    <w:uiPriority w:val="34"/>
    <w:qFormat/>
    <w:rsid w:val="005964E5"/>
    <w:pPr>
      <w:ind w:left="720"/>
      <w:contextualSpacing/>
    </w:pPr>
  </w:style>
  <w:style w:type="paragraph" w:styleId="Subtitle">
    <w:name w:val="Subtitle"/>
    <w:basedOn w:val="Normal"/>
    <w:link w:val="SubtitleChar"/>
    <w:qFormat/>
    <w:rsid w:val="00841111"/>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841111"/>
    <w:rPr>
      <w:rFonts w:ascii="Times New Roman" w:eastAsia="Times New Roman" w:hAnsi="Times New Roman" w:cs="B Zar"/>
      <w:sz w:val="28"/>
      <w:szCs w:val="28"/>
      <w:lang w:val="x-none" w:eastAsia="x-none" w:bidi="ar-SA"/>
    </w:rPr>
  </w:style>
  <w:style w:type="paragraph" w:styleId="Header">
    <w:name w:val="header"/>
    <w:basedOn w:val="Normal"/>
    <w:link w:val="HeaderChar"/>
    <w:uiPriority w:val="99"/>
    <w:unhideWhenUsed/>
    <w:rsid w:val="00992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EB8"/>
  </w:style>
  <w:style w:type="paragraph" w:styleId="Title">
    <w:name w:val="Title"/>
    <w:basedOn w:val="Normal"/>
    <w:link w:val="TitleChar"/>
    <w:uiPriority w:val="10"/>
    <w:qFormat/>
    <w:rsid w:val="000B2EBE"/>
    <w:pPr>
      <w:spacing w:after="0" w:line="240" w:lineRule="auto"/>
      <w:jc w:val="center"/>
    </w:pPr>
    <w:rPr>
      <w:rFonts w:ascii="Times New Roman" w:eastAsia="Times New Roman" w:hAnsi="Times New Roman" w:cs="Times New Roman"/>
      <w:b/>
      <w:bCs/>
      <w:sz w:val="36"/>
      <w:szCs w:val="36"/>
      <w:lang w:val="x-none" w:eastAsia="x-none" w:bidi="ar-SA"/>
    </w:rPr>
  </w:style>
  <w:style w:type="character" w:customStyle="1" w:styleId="TitleChar">
    <w:name w:val="Title Char"/>
    <w:basedOn w:val="DefaultParagraphFont"/>
    <w:link w:val="Title"/>
    <w:uiPriority w:val="10"/>
    <w:rsid w:val="000B2EBE"/>
    <w:rPr>
      <w:rFonts w:ascii="Times New Roman" w:eastAsia="Times New Roman" w:hAnsi="Times New Roman" w:cs="Times New Roman"/>
      <w:b/>
      <w:bCs/>
      <w:sz w:val="36"/>
      <w:szCs w:val="36"/>
      <w:lang w:val="x-none" w:eastAsia="x-none" w:bidi="ar-SA"/>
    </w:rPr>
  </w:style>
  <w:style w:type="character" w:customStyle="1" w:styleId="ng-binding">
    <w:name w:val="ng-binding"/>
    <w:basedOn w:val="DefaultParagraphFont"/>
    <w:rsid w:val="000B2EBE"/>
  </w:style>
  <w:style w:type="character" w:styleId="Emphasis">
    <w:name w:val="Emphasis"/>
    <w:basedOn w:val="DefaultParagraphFont"/>
    <w:uiPriority w:val="20"/>
    <w:qFormat/>
    <w:rsid w:val="00BE01A8"/>
    <w:rPr>
      <w:i/>
      <w:iCs/>
    </w:rPr>
  </w:style>
  <w:style w:type="character" w:styleId="Strong">
    <w:name w:val="Strong"/>
    <w:basedOn w:val="DefaultParagraphFont"/>
    <w:uiPriority w:val="22"/>
    <w:qFormat/>
    <w:rsid w:val="007D11B9"/>
    <w:rPr>
      <w:b/>
      <w:bCs/>
    </w:rPr>
  </w:style>
  <w:style w:type="paragraph" w:styleId="CommentText">
    <w:name w:val="annotation text"/>
    <w:basedOn w:val="Normal"/>
    <w:link w:val="CommentTextChar"/>
    <w:unhideWhenUsed/>
    <w:rsid w:val="00194772"/>
    <w:pPr>
      <w:bidi w:val="0"/>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rsid w:val="00194772"/>
    <w:rPr>
      <w:rFonts w:ascii="Times New Roman" w:eastAsia="Times New Roman" w:hAnsi="Times New Roman" w:cs="Times New Roman"/>
      <w:sz w:val="20"/>
      <w:szCs w:val="20"/>
      <w:lang w:bidi="ar-SA"/>
    </w:rPr>
  </w:style>
  <w:style w:type="character" w:styleId="CommentReference">
    <w:name w:val="annotation reference"/>
    <w:basedOn w:val="DefaultParagraphFont"/>
    <w:semiHidden/>
    <w:unhideWhenUsed/>
    <w:rsid w:val="00194772"/>
    <w:rPr>
      <w:sz w:val="16"/>
      <w:szCs w:val="16"/>
    </w:rPr>
  </w:style>
  <w:style w:type="paragraph" w:styleId="NormalWeb">
    <w:name w:val="Normal (Web)"/>
    <w:basedOn w:val="Normal"/>
    <w:uiPriority w:val="99"/>
    <w:semiHidden/>
    <w:unhideWhenUsed/>
    <w:rsid w:val="001B64DC"/>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2">
    <w:name w:val="No List2"/>
    <w:next w:val="NoList"/>
    <w:uiPriority w:val="99"/>
    <w:semiHidden/>
    <w:unhideWhenUsed/>
    <w:rsid w:val="001B64DC"/>
  </w:style>
  <w:style w:type="paragraph" w:customStyle="1" w:styleId="msonormal0">
    <w:name w:val="msonormal"/>
    <w:basedOn w:val="Normal"/>
    <w:rsid w:val="001B64DC"/>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1B64DC"/>
    <w:rPr>
      <w:color w:val="800080"/>
      <w:u w:val="single"/>
    </w:rPr>
  </w:style>
  <w:style w:type="character" w:customStyle="1" w:styleId="arabs">
    <w:name w:val="arabs"/>
    <w:basedOn w:val="DefaultParagraphFont"/>
    <w:rsid w:val="00F26BE6"/>
  </w:style>
  <w:style w:type="paragraph" w:styleId="BalloonText">
    <w:name w:val="Balloon Text"/>
    <w:basedOn w:val="Normal"/>
    <w:link w:val="BalloonTextChar"/>
    <w:uiPriority w:val="99"/>
    <w:semiHidden/>
    <w:unhideWhenUsed/>
    <w:rsid w:val="00B32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D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next w:val="Normal"/>
    <w:link w:val="Heading1Char"/>
    <w:uiPriority w:val="9"/>
    <w:unhideWhenUsed/>
    <w:qFormat/>
    <w:rsid w:val="001149A1"/>
    <w:pPr>
      <w:keepNext/>
      <w:keepLines/>
      <w:bidi/>
      <w:spacing w:after="178"/>
      <w:ind w:left="10" w:hanging="10"/>
      <w:outlineLvl w:val="0"/>
    </w:pPr>
    <w:rPr>
      <w:rFonts w:ascii="B Lotus" w:eastAsia="B Lotus" w:hAnsi="B Lotus" w:cs="B Lotus"/>
      <w:b/>
      <w:color w:val="000000"/>
      <w:sz w:val="30"/>
    </w:rPr>
  </w:style>
  <w:style w:type="paragraph" w:styleId="Heading2">
    <w:name w:val="heading 2"/>
    <w:basedOn w:val="Normal"/>
    <w:next w:val="Normal"/>
    <w:link w:val="Heading2Char"/>
    <w:uiPriority w:val="9"/>
    <w:unhideWhenUsed/>
    <w:qFormat/>
    <w:rsid w:val="00956E1C"/>
    <w:pPr>
      <w:keepNext/>
      <w:keepLines/>
      <w:spacing w:before="40" w:after="0"/>
      <w:outlineLvl w:val="1"/>
    </w:pPr>
    <w:rPr>
      <w:rFonts w:asciiTheme="majorHAnsi" w:eastAsiaTheme="majorEastAsia" w:hAnsiTheme="majorHAnsi" w:cs="B Lotus"/>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9A1"/>
    <w:rPr>
      <w:rFonts w:ascii="B Lotus" w:eastAsia="B Lotus" w:hAnsi="B Lotus" w:cs="B Lotus"/>
      <w:b/>
      <w:color w:val="000000"/>
      <w:sz w:val="30"/>
    </w:rPr>
  </w:style>
  <w:style w:type="numbering" w:customStyle="1" w:styleId="NoList1">
    <w:name w:val="No List1"/>
    <w:next w:val="NoList"/>
    <w:uiPriority w:val="99"/>
    <w:semiHidden/>
    <w:unhideWhenUsed/>
    <w:rsid w:val="001149A1"/>
  </w:style>
  <w:style w:type="paragraph" w:customStyle="1" w:styleId="footnotedescription">
    <w:name w:val="footnote description"/>
    <w:next w:val="Normal"/>
    <w:link w:val="footnotedescriptionChar"/>
    <w:hidden/>
    <w:rsid w:val="001149A1"/>
    <w:pPr>
      <w:spacing w:after="0"/>
      <w:ind w:left="97" w:right="132"/>
    </w:pPr>
    <w:rPr>
      <w:rFonts w:ascii="B Lotus" w:eastAsia="B Lotus" w:hAnsi="B Lotus" w:cs="B Lotus"/>
      <w:color w:val="000000"/>
    </w:rPr>
  </w:style>
  <w:style w:type="character" w:customStyle="1" w:styleId="footnotedescriptionChar">
    <w:name w:val="footnote description Char"/>
    <w:link w:val="footnotedescription"/>
    <w:rsid w:val="001149A1"/>
    <w:rPr>
      <w:rFonts w:ascii="B Lotus" w:eastAsia="B Lotus" w:hAnsi="B Lotus" w:cs="B Lotus"/>
      <w:color w:val="000000"/>
    </w:rPr>
  </w:style>
  <w:style w:type="character" w:customStyle="1" w:styleId="footnotemark">
    <w:name w:val="footnote mark"/>
    <w:hidden/>
    <w:rsid w:val="001149A1"/>
    <w:rPr>
      <w:rFonts w:ascii="B Lotus" w:eastAsia="B Lotus" w:hAnsi="B Lotus" w:cs="B Lotus"/>
      <w:color w:val="000000"/>
      <w:sz w:val="22"/>
      <w:vertAlign w:val="superscript"/>
    </w:rPr>
  </w:style>
  <w:style w:type="character" w:customStyle="1" w:styleId="Heading2Char">
    <w:name w:val="Heading 2 Char"/>
    <w:basedOn w:val="DefaultParagraphFont"/>
    <w:link w:val="Heading2"/>
    <w:uiPriority w:val="9"/>
    <w:rsid w:val="00956E1C"/>
    <w:rPr>
      <w:rFonts w:asciiTheme="majorHAnsi" w:eastAsiaTheme="majorEastAsia" w:hAnsiTheme="majorHAnsi" w:cs="B Lotus"/>
      <w:bCs/>
      <w:sz w:val="26"/>
      <w:szCs w:val="28"/>
    </w:rPr>
  </w:style>
  <w:style w:type="paragraph" w:styleId="TOCHeading">
    <w:name w:val="TOC Heading"/>
    <w:basedOn w:val="Heading1"/>
    <w:next w:val="Normal"/>
    <w:uiPriority w:val="39"/>
    <w:unhideWhenUsed/>
    <w:qFormat/>
    <w:rsid w:val="00B13327"/>
    <w:pPr>
      <w:bidi w:val="0"/>
      <w:spacing w:before="240" w:after="0"/>
      <w:ind w:left="0" w:firstLine="0"/>
      <w:outlineLvl w:val="9"/>
    </w:pPr>
    <w:rPr>
      <w:rFonts w:asciiTheme="majorHAnsi" w:eastAsiaTheme="majorEastAsia" w:hAnsiTheme="majorHAnsi" w:cstheme="majorBidi"/>
      <w:b w:val="0"/>
      <w:color w:val="2E74B5" w:themeColor="accent1" w:themeShade="BF"/>
      <w:sz w:val="32"/>
      <w:szCs w:val="32"/>
      <w:lang w:bidi="ar-SA"/>
    </w:rPr>
  </w:style>
  <w:style w:type="paragraph" w:styleId="TOC2">
    <w:name w:val="toc 2"/>
    <w:basedOn w:val="Normal"/>
    <w:next w:val="Normal"/>
    <w:autoRedefine/>
    <w:uiPriority w:val="39"/>
    <w:unhideWhenUsed/>
    <w:rsid w:val="00B13327"/>
    <w:pPr>
      <w:spacing w:after="100"/>
      <w:ind w:left="220"/>
    </w:pPr>
  </w:style>
  <w:style w:type="paragraph" w:styleId="TOC1">
    <w:name w:val="toc 1"/>
    <w:basedOn w:val="Normal"/>
    <w:next w:val="Normal"/>
    <w:autoRedefine/>
    <w:uiPriority w:val="39"/>
    <w:unhideWhenUsed/>
    <w:rsid w:val="00B13327"/>
    <w:pPr>
      <w:spacing w:after="100"/>
    </w:pPr>
  </w:style>
  <w:style w:type="paragraph" w:styleId="TOC3">
    <w:name w:val="toc 3"/>
    <w:basedOn w:val="Normal"/>
    <w:next w:val="Normal"/>
    <w:autoRedefine/>
    <w:uiPriority w:val="39"/>
    <w:unhideWhenUsed/>
    <w:rsid w:val="00B13327"/>
    <w:pPr>
      <w:spacing w:after="100"/>
      <w:ind w:left="440"/>
    </w:pPr>
    <w:rPr>
      <w:rFonts w:eastAsiaTheme="minorEastAsia"/>
    </w:rPr>
  </w:style>
  <w:style w:type="paragraph" w:styleId="TOC4">
    <w:name w:val="toc 4"/>
    <w:basedOn w:val="Normal"/>
    <w:next w:val="Normal"/>
    <w:autoRedefine/>
    <w:uiPriority w:val="39"/>
    <w:unhideWhenUsed/>
    <w:rsid w:val="00B13327"/>
    <w:pPr>
      <w:spacing w:after="100"/>
      <w:ind w:left="660"/>
    </w:pPr>
    <w:rPr>
      <w:rFonts w:eastAsiaTheme="minorEastAsia"/>
    </w:rPr>
  </w:style>
  <w:style w:type="paragraph" w:styleId="TOC5">
    <w:name w:val="toc 5"/>
    <w:basedOn w:val="Normal"/>
    <w:next w:val="Normal"/>
    <w:autoRedefine/>
    <w:uiPriority w:val="39"/>
    <w:unhideWhenUsed/>
    <w:rsid w:val="00B13327"/>
    <w:pPr>
      <w:spacing w:after="100"/>
      <w:ind w:left="880"/>
    </w:pPr>
    <w:rPr>
      <w:rFonts w:eastAsiaTheme="minorEastAsia"/>
    </w:rPr>
  </w:style>
  <w:style w:type="paragraph" w:styleId="TOC6">
    <w:name w:val="toc 6"/>
    <w:basedOn w:val="Normal"/>
    <w:next w:val="Normal"/>
    <w:autoRedefine/>
    <w:uiPriority w:val="39"/>
    <w:unhideWhenUsed/>
    <w:rsid w:val="00B13327"/>
    <w:pPr>
      <w:spacing w:after="100"/>
      <w:ind w:left="1100"/>
    </w:pPr>
    <w:rPr>
      <w:rFonts w:eastAsiaTheme="minorEastAsia"/>
    </w:rPr>
  </w:style>
  <w:style w:type="paragraph" w:styleId="TOC7">
    <w:name w:val="toc 7"/>
    <w:basedOn w:val="Normal"/>
    <w:next w:val="Normal"/>
    <w:autoRedefine/>
    <w:uiPriority w:val="39"/>
    <w:unhideWhenUsed/>
    <w:rsid w:val="00B13327"/>
    <w:pPr>
      <w:spacing w:after="100"/>
      <w:ind w:left="1320"/>
    </w:pPr>
    <w:rPr>
      <w:rFonts w:eastAsiaTheme="minorEastAsia"/>
    </w:rPr>
  </w:style>
  <w:style w:type="paragraph" w:styleId="TOC8">
    <w:name w:val="toc 8"/>
    <w:basedOn w:val="Normal"/>
    <w:next w:val="Normal"/>
    <w:autoRedefine/>
    <w:uiPriority w:val="39"/>
    <w:unhideWhenUsed/>
    <w:rsid w:val="00B13327"/>
    <w:pPr>
      <w:spacing w:after="100"/>
      <w:ind w:left="1540"/>
    </w:pPr>
    <w:rPr>
      <w:rFonts w:eastAsiaTheme="minorEastAsia"/>
    </w:rPr>
  </w:style>
  <w:style w:type="paragraph" w:styleId="TOC9">
    <w:name w:val="toc 9"/>
    <w:basedOn w:val="Normal"/>
    <w:next w:val="Normal"/>
    <w:autoRedefine/>
    <w:uiPriority w:val="39"/>
    <w:unhideWhenUsed/>
    <w:rsid w:val="00B13327"/>
    <w:pPr>
      <w:spacing w:after="100"/>
      <w:ind w:left="1760"/>
    </w:pPr>
    <w:rPr>
      <w:rFonts w:eastAsiaTheme="minorEastAsia"/>
    </w:rPr>
  </w:style>
  <w:style w:type="character" w:styleId="Hyperlink">
    <w:name w:val="Hyperlink"/>
    <w:basedOn w:val="DefaultParagraphFont"/>
    <w:uiPriority w:val="99"/>
    <w:unhideWhenUsed/>
    <w:rsid w:val="00B13327"/>
    <w:rPr>
      <w:color w:val="0563C1" w:themeColor="hyperlink"/>
      <w:u w:val="single"/>
    </w:rPr>
  </w:style>
  <w:style w:type="paragraph" w:styleId="FootnoteText">
    <w:name w:val="footnote text"/>
    <w:aliases w:val="پاورقي"/>
    <w:basedOn w:val="Normal"/>
    <w:link w:val="FootnoteTextChar"/>
    <w:unhideWhenUsed/>
    <w:qFormat/>
    <w:rsid w:val="00F17D5E"/>
    <w:pPr>
      <w:spacing w:after="0" w:line="240" w:lineRule="auto"/>
    </w:pPr>
    <w:rPr>
      <w:sz w:val="20"/>
      <w:szCs w:val="20"/>
    </w:rPr>
  </w:style>
  <w:style w:type="character" w:customStyle="1" w:styleId="FootnoteTextChar">
    <w:name w:val="Footnote Text Char"/>
    <w:aliases w:val="پاورقي Char"/>
    <w:basedOn w:val="DefaultParagraphFont"/>
    <w:link w:val="FootnoteText"/>
    <w:rsid w:val="00F17D5E"/>
    <w:rPr>
      <w:sz w:val="20"/>
      <w:szCs w:val="20"/>
    </w:rPr>
  </w:style>
  <w:style w:type="character" w:styleId="FootnoteReference">
    <w:name w:val="footnote reference"/>
    <w:basedOn w:val="DefaultParagraphFont"/>
    <w:unhideWhenUsed/>
    <w:rsid w:val="00F17D5E"/>
    <w:rPr>
      <w:vertAlign w:val="superscript"/>
    </w:rPr>
  </w:style>
  <w:style w:type="paragraph" w:styleId="ListParagraph">
    <w:name w:val="List Paragraph"/>
    <w:basedOn w:val="Normal"/>
    <w:uiPriority w:val="34"/>
    <w:qFormat/>
    <w:rsid w:val="005964E5"/>
    <w:pPr>
      <w:ind w:left="720"/>
      <w:contextualSpacing/>
    </w:pPr>
  </w:style>
  <w:style w:type="paragraph" w:styleId="Subtitle">
    <w:name w:val="Subtitle"/>
    <w:basedOn w:val="Normal"/>
    <w:link w:val="SubtitleChar"/>
    <w:qFormat/>
    <w:rsid w:val="00841111"/>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841111"/>
    <w:rPr>
      <w:rFonts w:ascii="Times New Roman" w:eastAsia="Times New Roman" w:hAnsi="Times New Roman" w:cs="B Zar"/>
      <w:sz w:val="28"/>
      <w:szCs w:val="28"/>
      <w:lang w:val="x-none" w:eastAsia="x-none" w:bidi="ar-SA"/>
    </w:rPr>
  </w:style>
  <w:style w:type="paragraph" w:styleId="Header">
    <w:name w:val="header"/>
    <w:basedOn w:val="Normal"/>
    <w:link w:val="HeaderChar"/>
    <w:uiPriority w:val="99"/>
    <w:unhideWhenUsed/>
    <w:rsid w:val="00992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EB8"/>
  </w:style>
  <w:style w:type="paragraph" w:styleId="Title">
    <w:name w:val="Title"/>
    <w:basedOn w:val="Normal"/>
    <w:link w:val="TitleChar"/>
    <w:uiPriority w:val="10"/>
    <w:qFormat/>
    <w:rsid w:val="000B2EBE"/>
    <w:pPr>
      <w:spacing w:after="0" w:line="240" w:lineRule="auto"/>
      <w:jc w:val="center"/>
    </w:pPr>
    <w:rPr>
      <w:rFonts w:ascii="Times New Roman" w:eastAsia="Times New Roman" w:hAnsi="Times New Roman" w:cs="Times New Roman"/>
      <w:b/>
      <w:bCs/>
      <w:sz w:val="36"/>
      <w:szCs w:val="36"/>
      <w:lang w:val="x-none" w:eastAsia="x-none" w:bidi="ar-SA"/>
    </w:rPr>
  </w:style>
  <w:style w:type="character" w:customStyle="1" w:styleId="TitleChar">
    <w:name w:val="Title Char"/>
    <w:basedOn w:val="DefaultParagraphFont"/>
    <w:link w:val="Title"/>
    <w:uiPriority w:val="10"/>
    <w:rsid w:val="000B2EBE"/>
    <w:rPr>
      <w:rFonts w:ascii="Times New Roman" w:eastAsia="Times New Roman" w:hAnsi="Times New Roman" w:cs="Times New Roman"/>
      <w:b/>
      <w:bCs/>
      <w:sz w:val="36"/>
      <w:szCs w:val="36"/>
      <w:lang w:val="x-none" w:eastAsia="x-none" w:bidi="ar-SA"/>
    </w:rPr>
  </w:style>
  <w:style w:type="character" w:customStyle="1" w:styleId="ng-binding">
    <w:name w:val="ng-binding"/>
    <w:basedOn w:val="DefaultParagraphFont"/>
    <w:rsid w:val="000B2EBE"/>
  </w:style>
  <w:style w:type="character" w:styleId="Emphasis">
    <w:name w:val="Emphasis"/>
    <w:basedOn w:val="DefaultParagraphFont"/>
    <w:uiPriority w:val="20"/>
    <w:qFormat/>
    <w:rsid w:val="00BE01A8"/>
    <w:rPr>
      <w:i/>
      <w:iCs/>
    </w:rPr>
  </w:style>
  <w:style w:type="character" w:styleId="Strong">
    <w:name w:val="Strong"/>
    <w:basedOn w:val="DefaultParagraphFont"/>
    <w:uiPriority w:val="22"/>
    <w:qFormat/>
    <w:rsid w:val="007D11B9"/>
    <w:rPr>
      <w:b/>
      <w:bCs/>
    </w:rPr>
  </w:style>
  <w:style w:type="paragraph" w:styleId="CommentText">
    <w:name w:val="annotation text"/>
    <w:basedOn w:val="Normal"/>
    <w:link w:val="CommentTextChar"/>
    <w:unhideWhenUsed/>
    <w:rsid w:val="00194772"/>
    <w:pPr>
      <w:bidi w:val="0"/>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rsid w:val="00194772"/>
    <w:rPr>
      <w:rFonts w:ascii="Times New Roman" w:eastAsia="Times New Roman" w:hAnsi="Times New Roman" w:cs="Times New Roman"/>
      <w:sz w:val="20"/>
      <w:szCs w:val="20"/>
      <w:lang w:bidi="ar-SA"/>
    </w:rPr>
  </w:style>
  <w:style w:type="character" w:styleId="CommentReference">
    <w:name w:val="annotation reference"/>
    <w:basedOn w:val="DefaultParagraphFont"/>
    <w:semiHidden/>
    <w:unhideWhenUsed/>
    <w:rsid w:val="00194772"/>
    <w:rPr>
      <w:sz w:val="16"/>
      <w:szCs w:val="16"/>
    </w:rPr>
  </w:style>
  <w:style w:type="paragraph" w:styleId="NormalWeb">
    <w:name w:val="Normal (Web)"/>
    <w:basedOn w:val="Normal"/>
    <w:uiPriority w:val="99"/>
    <w:semiHidden/>
    <w:unhideWhenUsed/>
    <w:rsid w:val="001B64DC"/>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2">
    <w:name w:val="No List2"/>
    <w:next w:val="NoList"/>
    <w:uiPriority w:val="99"/>
    <w:semiHidden/>
    <w:unhideWhenUsed/>
    <w:rsid w:val="001B64DC"/>
  </w:style>
  <w:style w:type="paragraph" w:customStyle="1" w:styleId="msonormal0">
    <w:name w:val="msonormal"/>
    <w:basedOn w:val="Normal"/>
    <w:rsid w:val="001B64DC"/>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1B64DC"/>
    <w:rPr>
      <w:color w:val="800080"/>
      <w:u w:val="single"/>
    </w:rPr>
  </w:style>
  <w:style w:type="character" w:customStyle="1" w:styleId="arabs">
    <w:name w:val="arabs"/>
    <w:basedOn w:val="DefaultParagraphFont"/>
    <w:rsid w:val="00F26BE6"/>
  </w:style>
  <w:style w:type="paragraph" w:styleId="BalloonText">
    <w:name w:val="Balloon Text"/>
    <w:basedOn w:val="Normal"/>
    <w:link w:val="BalloonTextChar"/>
    <w:uiPriority w:val="99"/>
    <w:semiHidden/>
    <w:unhideWhenUsed/>
    <w:rsid w:val="00B32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D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8620">
      <w:bodyDiv w:val="1"/>
      <w:marLeft w:val="0"/>
      <w:marRight w:val="0"/>
      <w:marTop w:val="0"/>
      <w:marBottom w:val="0"/>
      <w:divBdr>
        <w:top w:val="none" w:sz="0" w:space="0" w:color="auto"/>
        <w:left w:val="none" w:sz="0" w:space="0" w:color="auto"/>
        <w:bottom w:val="none" w:sz="0" w:space="0" w:color="auto"/>
        <w:right w:val="none" w:sz="0" w:space="0" w:color="auto"/>
      </w:divBdr>
      <w:divsChild>
        <w:div w:id="264193135">
          <w:marLeft w:val="0"/>
          <w:marRight w:val="0"/>
          <w:marTop w:val="0"/>
          <w:marBottom w:val="0"/>
          <w:divBdr>
            <w:top w:val="none" w:sz="0" w:space="0" w:color="auto"/>
            <w:left w:val="none" w:sz="0" w:space="0" w:color="auto"/>
            <w:bottom w:val="none" w:sz="0" w:space="0" w:color="auto"/>
            <w:right w:val="none" w:sz="0" w:space="0" w:color="auto"/>
          </w:divBdr>
          <w:divsChild>
            <w:div w:id="1912083748">
              <w:marLeft w:val="0"/>
              <w:marRight w:val="0"/>
              <w:marTop w:val="0"/>
              <w:marBottom w:val="0"/>
              <w:divBdr>
                <w:top w:val="none" w:sz="0" w:space="0" w:color="auto"/>
                <w:left w:val="none" w:sz="0" w:space="0" w:color="auto"/>
                <w:bottom w:val="none" w:sz="0" w:space="0" w:color="auto"/>
                <w:right w:val="none" w:sz="0" w:space="0" w:color="auto"/>
              </w:divBdr>
              <w:divsChild>
                <w:div w:id="1730838250">
                  <w:marLeft w:val="0"/>
                  <w:marRight w:val="0"/>
                  <w:marTop w:val="0"/>
                  <w:marBottom w:val="0"/>
                  <w:divBdr>
                    <w:top w:val="none" w:sz="0" w:space="0" w:color="auto"/>
                    <w:left w:val="none" w:sz="0" w:space="0" w:color="auto"/>
                    <w:bottom w:val="none" w:sz="0" w:space="0" w:color="auto"/>
                    <w:right w:val="none" w:sz="0" w:space="0" w:color="auto"/>
                  </w:divBdr>
                  <w:divsChild>
                    <w:div w:id="605163113">
                      <w:marLeft w:val="0"/>
                      <w:marRight w:val="0"/>
                      <w:marTop w:val="0"/>
                      <w:marBottom w:val="0"/>
                      <w:divBdr>
                        <w:top w:val="none" w:sz="0" w:space="0" w:color="auto"/>
                        <w:left w:val="none" w:sz="0" w:space="0" w:color="auto"/>
                        <w:bottom w:val="none" w:sz="0" w:space="0" w:color="auto"/>
                        <w:right w:val="none" w:sz="0" w:space="0" w:color="auto"/>
                      </w:divBdr>
                      <w:divsChild>
                        <w:div w:id="52999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6191">
      <w:bodyDiv w:val="1"/>
      <w:marLeft w:val="0"/>
      <w:marRight w:val="0"/>
      <w:marTop w:val="0"/>
      <w:marBottom w:val="0"/>
      <w:divBdr>
        <w:top w:val="none" w:sz="0" w:space="0" w:color="auto"/>
        <w:left w:val="none" w:sz="0" w:space="0" w:color="auto"/>
        <w:bottom w:val="none" w:sz="0" w:space="0" w:color="auto"/>
        <w:right w:val="none" w:sz="0" w:space="0" w:color="auto"/>
      </w:divBdr>
    </w:div>
    <w:div w:id="774595590">
      <w:bodyDiv w:val="1"/>
      <w:marLeft w:val="0"/>
      <w:marRight w:val="0"/>
      <w:marTop w:val="0"/>
      <w:marBottom w:val="0"/>
      <w:divBdr>
        <w:top w:val="none" w:sz="0" w:space="0" w:color="auto"/>
        <w:left w:val="none" w:sz="0" w:space="0" w:color="auto"/>
        <w:bottom w:val="none" w:sz="0" w:space="0" w:color="auto"/>
        <w:right w:val="none" w:sz="0" w:space="0" w:color="auto"/>
      </w:divBdr>
    </w:div>
    <w:div w:id="817649801">
      <w:bodyDiv w:val="1"/>
      <w:marLeft w:val="0"/>
      <w:marRight w:val="0"/>
      <w:marTop w:val="0"/>
      <w:marBottom w:val="0"/>
      <w:divBdr>
        <w:top w:val="none" w:sz="0" w:space="0" w:color="auto"/>
        <w:left w:val="none" w:sz="0" w:space="0" w:color="auto"/>
        <w:bottom w:val="none" w:sz="0" w:space="0" w:color="auto"/>
        <w:right w:val="none" w:sz="0" w:space="0" w:color="auto"/>
      </w:divBdr>
    </w:div>
    <w:div w:id="1231575143">
      <w:bodyDiv w:val="1"/>
      <w:marLeft w:val="0"/>
      <w:marRight w:val="0"/>
      <w:marTop w:val="0"/>
      <w:marBottom w:val="0"/>
      <w:divBdr>
        <w:top w:val="none" w:sz="0" w:space="0" w:color="auto"/>
        <w:left w:val="none" w:sz="0" w:space="0" w:color="auto"/>
        <w:bottom w:val="none" w:sz="0" w:space="0" w:color="auto"/>
        <w:right w:val="none" w:sz="0" w:space="0" w:color="auto"/>
      </w:divBdr>
      <w:divsChild>
        <w:div w:id="1790778849">
          <w:marLeft w:val="0"/>
          <w:marRight w:val="0"/>
          <w:marTop w:val="0"/>
          <w:marBottom w:val="0"/>
          <w:divBdr>
            <w:top w:val="none" w:sz="0" w:space="0" w:color="auto"/>
            <w:left w:val="none" w:sz="0" w:space="0" w:color="auto"/>
            <w:bottom w:val="none" w:sz="0" w:space="0" w:color="auto"/>
            <w:right w:val="none" w:sz="0" w:space="0" w:color="auto"/>
          </w:divBdr>
          <w:divsChild>
            <w:div w:id="315571510">
              <w:marLeft w:val="0"/>
              <w:marRight w:val="0"/>
              <w:marTop w:val="0"/>
              <w:marBottom w:val="0"/>
              <w:divBdr>
                <w:top w:val="none" w:sz="0" w:space="0" w:color="auto"/>
                <w:left w:val="none" w:sz="0" w:space="0" w:color="auto"/>
                <w:bottom w:val="none" w:sz="0" w:space="0" w:color="auto"/>
                <w:right w:val="none" w:sz="0" w:space="0" w:color="auto"/>
              </w:divBdr>
              <w:divsChild>
                <w:div w:id="1683973151">
                  <w:marLeft w:val="0"/>
                  <w:marRight w:val="0"/>
                  <w:marTop w:val="0"/>
                  <w:marBottom w:val="0"/>
                  <w:divBdr>
                    <w:top w:val="none" w:sz="0" w:space="0" w:color="auto"/>
                    <w:left w:val="none" w:sz="0" w:space="0" w:color="auto"/>
                    <w:bottom w:val="none" w:sz="0" w:space="0" w:color="auto"/>
                    <w:right w:val="none" w:sz="0" w:space="0" w:color="auto"/>
                  </w:divBdr>
                  <w:divsChild>
                    <w:div w:id="850530795">
                      <w:marLeft w:val="0"/>
                      <w:marRight w:val="0"/>
                      <w:marTop w:val="0"/>
                      <w:marBottom w:val="0"/>
                      <w:divBdr>
                        <w:top w:val="none" w:sz="0" w:space="0" w:color="auto"/>
                        <w:left w:val="none" w:sz="0" w:space="0" w:color="auto"/>
                        <w:bottom w:val="none" w:sz="0" w:space="0" w:color="auto"/>
                        <w:right w:val="none" w:sz="0" w:space="0" w:color="auto"/>
                      </w:divBdr>
                      <w:divsChild>
                        <w:div w:id="10010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374130">
      <w:bodyDiv w:val="1"/>
      <w:marLeft w:val="0"/>
      <w:marRight w:val="0"/>
      <w:marTop w:val="0"/>
      <w:marBottom w:val="0"/>
      <w:divBdr>
        <w:top w:val="none" w:sz="0" w:space="0" w:color="auto"/>
        <w:left w:val="none" w:sz="0" w:space="0" w:color="auto"/>
        <w:bottom w:val="none" w:sz="0" w:space="0" w:color="auto"/>
        <w:right w:val="none" w:sz="0" w:space="0" w:color="auto"/>
      </w:divBdr>
    </w:div>
    <w:div w:id="1684286930">
      <w:bodyDiv w:val="1"/>
      <w:marLeft w:val="0"/>
      <w:marRight w:val="0"/>
      <w:marTop w:val="0"/>
      <w:marBottom w:val="0"/>
      <w:divBdr>
        <w:top w:val="none" w:sz="0" w:space="0" w:color="auto"/>
        <w:left w:val="none" w:sz="0" w:space="0" w:color="auto"/>
        <w:bottom w:val="none" w:sz="0" w:space="0" w:color="auto"/>
        <w:right w:val="none" w:sz="0" w:space="0" w:color="auto"/>
      </w:divBdr>
    </w:div>
    <w:div w:id="1698773957">
      <w:bodyDiv w:val="1"/>
      <w:marLeft w:val="0"/>
      <w:marRight w:val="0"/>
      <w:marTop w:val="0"/>
      <w:marBottom w:val="0"/>
      <w:divBdr>
        <w:top w:val="none" w:sz="0" w:space="0" w:color="auto"/>
        <w:left w:val="none" w:sz="0" w:space="0" w:color="auto"/>
        <w:bottom w:val="none" w:sz="0" w:space="0" w:color="auto"/>
        <w:right w:val="none" w:sz="0" w:space="0" w:color="auto"/>
      </w:divBdr>
    </w:div>
    <w:div w:id="1851482646">
      <w:bodyDiv w:val="1"/>
      <w:marLeft w:val="0"/>
      <w:marRight w:val="0"/>
      <w:marTop w:val="0"/>
      <w:marBottom w:val="0"/>
      <w:divBdr>
        <w:top w:val="none" w:sz="0" w:space="0" w:color="auto"/>
        <w:left w:val="none" w:sz="0" w:space="0" w:color="auto"/>
        <w:bottom w:val="none" w:sz="0" w:space="0" w:color="auto"/>
        <w:right w:val="none" w:sz="0" w:space="0" w:color="auto"/>
      </w:divBdr>
    </w:div>
    <w:div w:id="1867451076">
      <w:bodyDiv w:val="1"/>
      <w:marLeft w:val="0"/>
      <w:marRight w:val="0"/>
      <w:marTop w:val="0"/>
      <w:marBottom w:val="0"/>
      <w:divBdr>
        <w:top w:val="none" w:sz="0" w:space="0" w:color="auto"/>
        <w:left w:val="none" w:sz="0" w:space="0" w:color="auto"/>
        <w:bottom w:val="none" w:sz="0" w:space="0" w:color="auto"/>
        <w:right w:val="none" w:sz="0" w:space="0" w:color="auto"/>
      </w:divBdr>
      <w:divsChild>
        <w:div w:id="1564832593">
          <w:marLeft w:val="0"/>
          <w:marRight w:val="0"/>
          <w:marTop w:val="0"/>
          <w:marBottom w:val="0"/>
          <w:divBdr>
            <w:top w:val="none" w:sz="0" w:space="0" w:color="auto"/>
            <w:left w:val="none" w:sz="0" w:space="0" w:color="auto"/>
            <w:bottom w:val="none" w:sz="0" w:space="0" w:color="auto"/>
            <w:right w:val="none" w:sz="0" w:space="0" w:color="auto"/>
          </w:divBdr>
        </w:div>
        <w:div w:id="223805835">
          <w:marLeft w:val="0"/>
          <w:marRight w:val="0"/>
          <w:marTop w:val="0"/>
          <w:marBottom w:val="0"/>
          <w:divBdr>
            <w:top w:val="none" w:sz="0" w:space="0" w:color="auto"/>
            <w:left w:val="none" w:sz="0" w:space="0" w:color="auto"/>
            <w:bottom w:val="none" w:sz="0" w:space="0" w:color="auto"/>
            <w:right w:val="none" w:sz="0" w:space="0" w:color="auto"/>
          </w:divBdr>
        </w:div>
      </w:divsChild>
    </w:div>
    <w:div w:id="21251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id.ir/search/paper/&#1576;&#1586;&#1607;%20&#1583;&#1740;&#1583;&#1711;&#1740;/fa?page=1&amp;sort=1&amp;ftyp=all&amp;fgrp=all&amp;fyrs=all" TargetMode="External"/><Relationship Id="rId18" Type="http://schemas.openxmlformats.org/officeDocument/2006/relationships/hyperlink" Target="https://www.sid.ir/search/paper/&#1576;&#1586;&#1607;%20&#1583;&#1740;&#1583;&#1711;&#1740;/fa?page=1&amp;sort=1&amp;ftyp=all&amp;fgrp=all&amp;fyrs=al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sid.ir/search/paper/%20&#1586;&#1606;&#1575;&#1606;/fa?page=1&amp;sort=1&amp;ftyp=all&amp;fgrp=all&amp;fyrs=all" TargetMode="External"/><Relationship Id="rId17" Type="http://schemas.openxmlformats.org/officeDocument/2006/relationships/hyperlink" Target="https://www.sid.ir/search/paper/%20&#1587;&#1740;&#1575;&#1587;&#1578;%20&#1705;&#1740;&#1601;&#1585;&#1740;%20&#1575;&#1601;&#1578;&#1585;&#1575;&#1602;&#1740;/fa?page=1&amp;sort=1&amp;ftyp=all&amp;fgrp=all&amp;fyrs=al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id.ir/search/paper/%20&#1586;&#1606;&#1575;&#1606;/fa?page=1&amp;sort=1&amp;ftyp=all&amp;fgrp=all&amp;fyrs=al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id.ir/search/paper/%20&#1586;&#1606;&#1575;&#1606;/fa?page=1&amp;sort=1&amp;ftyp=all&amp;fgrp=all&amp;fyrs=all"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id.ir/search/paper/%20&#1587;&#1740;&#1575;&#1587;&#1578;%20&#1705;&#1740;&#1601;&#1585;&#1740;%20&#1575;&#1601;&#1578;&#1585;&#1575;&#1602;&#1740;/fa?page=1&amp;sort=1&amp;ftyp=all&amp;fgrp=all&amp;fyrs=all" TargetMode="External"/><Relationship Id="rId23" Type="http://schemas.openxmlformats.org/officeDocument/2006/relationships/header" Target="header3.xml"/><Relationship Id="rId10" Type="http://schemas.openxmlformats.org/officeDocument/2006/relationships/hyperlink" Target="https://www.sid.ir/search/paper/%20&#1586;&#1606;&#1575;&#1606;/fa?page=1&amp;sort=1&amp;ftyp=all&amp;fgrp=all&amp;fyrs=al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sid.ir/search/paper/%20&#1586;&#1606;&#1575;&#1606;/fa?page=1&amp;sort=1&amp;ftyp=all&amp;fgrp=all&amp;fyrs=al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D4563-B70E-405F-9642-B1731A4A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7993</Words>
  <Characters>45563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SS</cp:lastModifiedBy>
  <cp:revision>2</cp:revision>
  <cp:lastPrinted>2025-01-17T07:28:00Z</cp:lastPrinted>
  <dcterms:created xsi:type="dcterms:W3CDTF">2025-12-17T14:41:00Z</dcterms:created>
  <dcterms:modified xsi:type="dcterms:W3CDTF">2025-12-17T14:41:00Z</dcterms:modified>
</cp:coreProperties>
</file>