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25F93" w14:textId="77777777" w:rsidR="005B6F6E" w:rsidRPr="00AB0D73" w:rsidRDefault="005B6F6E" w:rsidP="0081613D">
      <w:pPr>
        <w:bidi/>
        <w:spacing w:after="0"/>
        <w:jc w:val="both"/>
        <w:rPr>
          <w:rFonts w:ascii="Times New Roman" w:hAnsi="Times New Roman" w:cs="B Nazanin"/>
          <w:sz w:val="20"/>
          <w:szCs w:val="26"/>
          <w:rtl/>
          <w:lang w:val="en-GB"/>
        </w:rPr>
      </w:pPr>
    </w:p>
    <w:p w14:paraId="3D0283A4" w14:textId="77A2BFBE" w:rsidR="00954DB0" w:rsidRPr="00AB0D73" w:rsidRDefault="00954DB0" w:rsidP="0081613D">
      <w:pPr>
        <w:bidi/>
        <w:spacing w:after="0"/>
        <w:jc w:val="center"/>
        <w:rPr>
          <w:rFonts w:ascii="Times New Roman" w:hAnsi="Times New Roman" w:cs="B Nazanin"/>
          <w:b/>
          <w:bCs/>
          <w:sz w:val="20"/>
          <w:szCs w:val="32"/>
          <w:rtl/>
        </w:rPr>
      </w:pPr>
      <w:bookmarkStart w:id="0" w:name="_Hlk213752039"/>
      <w:r w:rsidRPr="00AB0D73">
        <w:rPr>
          <w:rFonts w:ascii="Times New Roman" w:hAnsi="Times New Roman" w:cs="B Nazanin"/>
          <w:b/>
          <w:bCs/>
          <w:sz w:val="20"/>
          <w:szCs w:val="32"/>
          <w:rtl/>
        </w:rPr>
        <w:t>تحول نظام ایکسید پس از اصلاحات ۲۰۲۲</w:t>
      </w:r>
    </w:p>
    <w:p w14:paraId="34D771CF" w14:textId="6C11D73E" w:rsidR="005B6F6E" w:rsidRPr="00AB0D73" w:rsidRDefault="004E37BB" w:rsidP="0081613D">
      <w:pPr>
        <w:bidi/>
        <w:spacing w:after="0"/>
        <w:jc w:val="center"/>
        <w:rPr>
          <w:rFonts w:ascii="Times New Roman" w:hAnsi="Times New Roman" w:cs="B Nazanin"/>
          <w:b/>
          <w:bCs/>
          <w:sz w:val="20"/>
          <w:szCs w:val="32"/>
          <w:rtl/>
        </w:rPr>
      </w:pPr>
      <w:r w:rsidRPr="00AB0D73">
        <w:rPr>
          <w:rFonts w:ascii="Times New Roman" w:hAnsi="Times New Roman" w:cs="B Nazanin" w:hint="cs"/>
          <w:b/>
          <w:bCs/>
          <w:sz w:val="20"/>
          <w:szCs w:val="32"/>
          <w:rtl/>
        </w:rPr>
        <w:t>(</w:t>
      </w:r>
      <w:r w:rsidR="00954DB0" w:rsidRPr="00AB0D73">
        <w:rPr>
          <w:rFonts w:ascii="Times New Roman" w:hAnsi="Times New Roman" w:cs="B Nazanin"/>
          <w:b/>
          <w:bCs/>
          <w:sz w:val="20"/>
          <w:szCs w:val="32"/>
          <w:rtl/>
        </w:rPr>
        <w:t>مشروعیت، شفافیت و کارآمدی در داوری سرمایه‌گذاری</w:t>
      </w:r>
      <w:r w:rsidRPr="00AB0D73">
        <w:rPr>
          <w:rFonts w:ascii="Times New Roman" w:hAnsi="Times New Roman" w:cs="B Nazanin" w:hint="cs"/>
          <w:b/>
          <w:bCs/>
          <w:sz w:val="20"/>
          <w:szCs w:val="32"/>
          <w:rtl/>
        </w:rPr>
        <w:t>)</w:t>
      </w:r>
    </w:p>
    <w:bookmarkEnd w:id="0"/>
    <w:p w14:paraId="4835D602" w14:textId="77777777" w:rsidR="005B6F6E" w:rsidRPr="00AB0D73" w:rsidRDefault="005B6F6E" w:rsidP="0081613D">
      <w:pPr>
        <w:bidi/>
        <w:spacing w:after="0"/>
        <w:jc w:val="both"/>
        <w:rPr>
          <w:rFonts w:ascii="Times New Roman" w:hAnsi="Times New Roman" w:cs="B Nazanin"/>
          <w:b/>
          <w:bCs/>
          <w:sz w:val="20"/>
          <w:szCs w:val="26"/>
          <w:rtl/>
        </w:rPr>
      </w:pPr>
    </w:p>
    <w:p w14:paraId="160CEA5B" w14:textId="4DB2368B" w:rsidR="00AB0D73" w:rsidRPr="00AB0D73" w:rsidRDefault="00D60084" w:rsidP="0081613D">
      <w:pPr>
        <w:bidi/>
        <w:spacing w:after="0" w:line="276" w:lineRule="auto"/>
        <w:jc w:val="center"/>
        <w:rPr>
          <w:rFonts w:ascii="Times New Roman" w:hAnsi="Times New Roman" w:cs="B Nazanin"/>
          <w:b/>
          <w:bCs/>
          <w:spacing w:val="-8"/>
          <w:sz w:val="20"/>
        </w:rPr>
      </w:pPr>
      <w:r w:rsidRPr="00AB0D73">
        <w:rPr>
          <w:rFonts w:ascii="Times New Roman" w:hAnsi="Times New Roman" w:cs="B Nazanin" w:hint="cs"/>
          <w:b/>
          <w:bCs/>
          <w:spacing w:val="-8"/>
          <w:sz w:val="20"/>
          <w:rtl/>
        </w:rPr>
        <w:t>علی اکبر قربان جهرمی</w:t>
      </w:r>
    </w:p>
    <w:p w14:paraId="07A1F202" w14:textId="6A2B9C31" w:rsidR="00D60084" w:rsidRPr="00AB0D73" w:rsidRDefault="00AB0D73" w:rsidP="0081613D">
      <w:pPr>
        <w:bidi/>
        <w:spacing w:after="0" w:line="276" w:lineRule="auto"/>
        <w:jc w:val="center"/>
        <w:rPr>
          <w:rFonts w:ascii="Times New Roman" w:hAnsi="Times New Roman" w:cs="B Nazanin"/>
          <w:spacing w:val="-8"/>
          <w:sz w:val="20"/>
          <w:szCs w:val="22"/>
          <w:rtl/>
        </w:rPr>
      </w:pPr>
      <w:r>
        <w:rPr>
          <w:rFonts w:ascii="Times New Roman" w:hAnsi="Times New Roman" w:cs="B Nazanin" w:hint="cs"/>
          <w:spacing w:val="-8"/>
          <w:sz w:val="20"/>
          <w:szCs w:val="22"/>
          <w:rtl/>
        </w:rPr>
        <w:t xml:space="preserve">دانشجوی دکتری تخصصی حقوق بین الملل، </w:t>
      </w:r>
      <w:r w:rsidR="00D60084" w:rsidRPr="00AB0D73">
        <w:rPr>
          <w:rFonts w:ascii="Times New Roman" w:hAnsi="Times New Roman" w:cs="B Nazanin" w:hint="cs"/>
          <w:spacing w:val="-8"/>
          <w:sz w:val="20"/>
          <w:szCs w:val="22"/>
          <w:rtl/>
        </w:rPr>
        <w:t>گروه</w:t>
      </w:r>
      <w:r w:rsidR="00D60084" w:rsidRPr="00AB0D73">
        <w:rPr>
          <w:rFonts w:ascii="Times New Roman" w:hAnsi="Times New Roman" w:cs="B Nazanin"/>
          <w:spacing w:val="-8"/>
          <w:sz w:val="20"/>
          <w:szCs w:val="22"/>
          <w:rtl/>
        </w:rPr>
        <w:t xml:space="preserve"> </w:t>
      </w:r>
      <w:r w:rsidR="00D60084" w:rsidRPr="00AB0D73">
        <w:rPr>
          <w:rFonts w:ascii="Times New Roman" w:hAnsi="Times New Roman" w:cs="B Nazanin" w:hint="cs"/>
          <w:spacing w:val="-8"/>
          <w:sz w:val="20"/>
          <w:szCs w:val="22"/>
          <w:rtl/>
        </w:rPr>
        <w:t>حقوق،</w:t>
      </w:r>
      <w:r w:rsidR="00D60084" w:rsidRPr="00AB0D73">
        <w:rPr>
          <w:rFonts w:ascii="Times New Roman" w:hAnsi="Times New Roman" w:cs="B Nazanin"/>
          <w:spacing w:val="-8"/>
          <w:sz w:val="20"/>
          <w:szCs w:val="22"/>
          <w:rtl/>
        </w:rPr>
        <w:t xml:space="preserve"> </w:t>
      </w:r>
      <w:r w:rsidR="00D60084" w:rsidRPr="00AB0D73">
        <w:rPr>
          <w:rFonts w:ascii="Times New Roman" w:hAnsi="Times New Roman" w:cs="B Nazanin" w:hint="cs"/>
          <w:spacing w:val="-8"/>
          <w:sz w:val="20"/>
          <w:szCs w:val="22"/>
          <w:rtl/>
        </w:rPr>
        <w:t>واحد</w:t>
      </w:r>
      <w:r w:rsidR="00D60084" w:rsidRPr="00AB0D73">
        <w:rPr>
          <w:rFonts w:ascii="Times New Roman" w:hAnsi="Times New Roman" w:cs="B Nazanin"/>
          <w:spacing w:val="-8"/>
          <w:sz w:val="20"/>
          <w:szCs w:val="22"/>
          <w:rtl/>
        </w:rPr>
        <w:t xml:space="preserve"> </w:t>
      </w:r>
      <w:r w:rsidR="00D60084" w:rsidRPr="00AB0D73">
        <w:rPr>
          <w:rFonts w:ascii="Times New Roman" w:hAnsi="Times New Roman" w:cs="B Nazanin" w:hint="cs"/>
          <w:spacing w:val="-8"/>
          <w:sz w:val="20"/>
          <w:szCs w:val="22"/>
          <w:rtl/>
        </w:rPr>
        <w:t>تهران</w:t>
      </w:r>
      <w:r w:rsidR="00D60084" w:rsidRPr="00AB0D73">
        <w:rPr>
          <w:rFonts w:ascii="Times New Roman" w:hAnsi="Times New Roman" w:cs="B Nazanin"/>
          <w:spacing w:val="-8"/>
          <w:sz w:val="20"/>
          <w:szCs w:val="22"/>
          <w:rtl/>
        </w:rPr>
        <w:t xml:space="preserve"> </w:t>
      </w:r>
      <w:r w:rsidR="00D60084" w:rsidRPr="00AB0D73">
        <w:rPr>
          <w:rFonts w:ascii="Times New Roman" w:hAnsi="Times New Roman" w:cs="B Nazanin" w:hint="cs"/>
          <w:spacing w:val="-8"/>
          <w:sz w:val="20"/>
          <w:szCs w:val="22"/>
          <w:rtl/>
        </w:rPr>
        <w:t>شمال،</w:t>
      </w:r>
      <w:r w:rsidR="00D60084" w:rsidRPr="00AB0D73">
        <w:rPr>
          <w:rFonts w:ascii="Times New Roman" w:hAnsi="Times New Roman" w:cs="B Nazanin"/>
          <w:spacing w:val="-8"/>
          <w:sz w:val="20"/>
          <w:szCs w:val="22"/>
          <w:rtl/>
        </w:rPr>
        <w:t xml:space="preserve"> </w:t>
      </w:r>
      <w:r w:rsidR="00D60084" w:rsidRPr="00AB0D73">
        <w:rPr>
          <w:rFonts w:ascii="Times New Roman" w:hAnsi="Times New Roman" w:cs="B Nazanin" w:hint="cs"/>
          <w:spacing w:val="-8"/>
          <w:sz w:val="20"/>
          <w:szCs w:val="22"/>
          <w:rtl/>
        </w:rPr>
        <w:t>دانشگاه</w:t>
      </w:r>
      <w:r w:rsidR="00D60084" w:rsidRPr="00AB0D73">
        <w:rPr>
          <w:rFonts w:ascii="Times New Roman" w:hAnsi="Times New Roman" w:cs="B Nazanin"/>
          <w:spacing w:val="-8"/>
          <w:sz w:val="20"/>
          <w:szCs w:val="22"/>
          <w:rtl/>
        </w:rPr>
        <w:t xml:space="preserve"> </w:t>
      </w:r>
      <w:r w:rsidR="00D60084" w:rsidRPr="00AB0D73">
        <w:rPr>
          <w:rFonts w:ascii="Times New Roman" w:hAnsi="Times New Roman" w:cs="B Nazanin" w:hint="cs"/>
          <w:spacing w:val="-8"/>
          <w:sz w:val="20"/>
          <w:szCs w:val="22"/>
          <w:rtl/>
        </w:rPr>
        <w:t>آزاد</w:t>
      </w:r>
      <w:r w:rsidR="00D60084" w:rsidRPr="00AB0D73">
        <w:rPr>
          <w:rFonts w:ascii="Times New Roman" w:hAnsi="Times New Roman" w:cs="B Nazanin"/>
          <w:spacing w:val="-8"/>
          <w:sz w:val="20"/>
          <w:szCs w:val="22"/>
          <w:rtl/>
        </w:rPr>
        <w:t xml:space="preserve"> </w:t>
      </w:r>
      <w:r w:rsidR="00D60084" w:rsidRPr="00AB0D73">
        <w:rPr>
          <w:rFonts w:ascii="Times New Roman" w:hAnsi="Times New Roman" w:cs="B Nazanin" w:hint="cs"/>
          <w:spacing w:val="-8"/>
          <w:sz w:val="20"/>
          <w:szCs w:val="22"/>
          <w:rtl/>
        </w:rPr>
        <w:t>اسلامی،</w:t>
      </w:r>
      <w:r w:rsidR="00D60084" w:rsidRPr="00AB0D73">
        <w:rPr>
          <w:rFonts w:ascii="Times New Roman" w:hAnsi="Times New Roman" w:cs="B Nazanin"/>
          <w:spacing w:val="-8"/>
          <w:sz w:val="20"/>
          <w:szCs w:val="22"/>
          <w:rtl/>
        </w:rPr>
        <w:t xml:space="preserve"> </w:t>
      </w:r>
      <w:r w:rsidR="00D60084" w:rsidRPr="00AB0D73">
        <w:rPr>
          <w:rFonts w:ascii="Times New Roman" w:hAnsi="Times New Roman" w:cs="B Nazanin" w:hint="cs"/>
          <w:spacing w:val="-8"/>
          <w:sz w:val="20"/>
          <w:szCs w:val="22"/>
          <w:rtl/>
        </w:rPr>
        <w:t>تهران</w:t>
      </w:r>
      <w:r w:rsidR="00D60084" w:rsidRPr="00AB0D73">
        <w:rPr>
          <w:rFonts w:ascii="Times New Roman" w:hAnsi="Times New Roman" w:cs="B Nazanin"/>
          <w:spacing w:val="-8"/>
          <w:sz w:val="20"/>
          <w:szCs w:val="22"/>
          <w:rtl/>
        </w:rPr>
        <w:t xml:space="preserve">. </w:t>
      </w:r>
      <w:r w:rsidR="00D60084" w:rsidRPr="00AB0D73">
        <w:rPr>
          <w:rFonts w:ascii="Times New Roman" w:hAnsi="Times New Roman" w:cs="B Nazanin" w:hint="cs"/>
          <w:spacing w:val="-8"/>
          <w:sz w:val="20"/>
          <w:szCs w:val="22"/>
          <w:rtl/>
        </w:rPr>
        <w:t>ایران</w:t>
      </w:r>
      <w:r w:rsidR="00D60084" w:rsidRPr="00AB0D73">
        <w:rPr>
          <w:rFonts w:ascii="Times New Roman" w:hAnsi="Times New Roman" w:cs="B Nazanin"/>
          <w:spacing w:val="-8"/>
          <w:sz w:val="20"/>
          <w:szCs w:val="22"/>
          <w:rtl/>
        </w:rPr>
        <w:t>.</w:t>
      </w:r>
    </w:p>
    <w:p w14:paraId="23FA096D" w14:textId="30F31ABA" w:rsidR="005B6F6E" w:rsidRPr="00AB0D73" w:rsidRDefault="005B6F6E" w:rsidP="0081613D">
      <w:pPr>
        <w:suppressAutoHyphens/>
        <w:autoSpaceDN w:val="0"/>
        <w:bidi/>
        <w:spacing w:after="0" w:line="240" w:lineRule="auto"/>
        <w:jc w:val="both"/>
        <w:rPr>
          <w:rFonts w:ascii="Times New Roman" w:eastAsia="Aptos" w:hAnsi="Times New Roman" w:cs="B Nazanin"/>
          <w:kern w:val="3"/>
          <w:sz w:val="20"/>
          <w:szCs w:val="26"/>
          <w14:ligatures w14:val="none"/>
        </w:rPr>
      </w:pPr>
    </w:p>
    <w:p w14:paraId="4848B923" w14:textId="77777777" w:rsidR="004E37BB" w:rsidRPr="00AB0D73" w:rsidRDefault="004E37BB" w:rsidP="0081613D">
      <w:pPr>
        <w:bidi/>
        <w:spacing w:after="0" w:line="276" w:lineRule="auto"/>
        <w:jc w:val="both"/>
        <w:rPr>
          <w:rFonts w:ascii="Times New Roman" w:hAnsi="Times New Roman" w:cs="B Nazanin"/>
          <w:sz w:val="20"/>
          <w:szCs w:val="26"/>
          <w:rtl/>
        </w:rPr>
      </w:pPr>
    </w:p>
    <w:p w14:paraId="568BA611" w14:textId="550AE634" w:rsidR="007F4FED" w:rsidRPr="00AB0D73" w:rsidRDefault="007F4FED" w:rsidP="0081613D">
      <w:pPr>
        <w:bidi/>
        <w:spacing w:after="0" w:line="276" w:lineRule="auto"/>
        <w:jc w:val="both"/>
        <w:rPr>
          <w:rFonts w:ascii="Times New Roman" w:hAnsi="Times New Roman" w:cs="B Nazanin"/>
          <w:b/>
          <w:bCs/>
          <w:sz w:val="20"/>
          <w:rtl/>
          <w:lang w:val="en-GB"/>
        </w:rPr>
      </w:pPr>
      <w:r w:rsidRPr="00AB0D73">
        <w:rPr>
          <w:rFonts w:ascii="Times New Roman" w:hAnsi="Times New Roman" w:cs="B Nazanin" w:hint="cs"/>
          <w:b/>
          <w:bCs/>
          <w:sz w:val="20"/>
          <w:rtl/>
          <w:lang w:val="en-GB"/>
        </w:rPr>
        <w:t>چکیده</w:t>
      </w:r>
    </w:p>
    <w:p w14:paraId="0A50E9BB" w14:textId="77777777" w:rsidR="00CB23A5" w:rsidRPr="00CB23A5" w:rsidRDefault="00CB23A5" w:rsidP="0081613D">
      <w:pPr>
        <w:bidi/>
        <w:spacing w:after="0" w:line="276" w:lineRule="auto"/>
        <w:jc w:val="both"/>
        <w:rPr>
          <w:rFonts w:ascii="Times New Roman" w:hAnsi="Times New Roman" w:cs="B Nazanin"/>
          <w:sz w:val="20"/>
          <w:rtl/>
          <w:lang w:val="en-GB" w:bidi="ar-SA"/>
        </w:rPr>
      </w:pPr>
      <w:r w:rsidRPr="00CB23A5">
        <w:rPr>
          <w:rFonts w:ascii="Times New Roman" w:hAnsi="Times New Roman" w:cs="B Nazanin" w:hint="cs"/>
          <w:sz w:val="20"/>
          <w:rtl/>
          <w:lang w:val="en-GB" w:bidi="ar-SA"/>
        </w:rPr>
        <w:t>نظام</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حل‌وفصل</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اختلافات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سرمایه‌گذاری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چارچوب</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مرکز</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بین‌المللی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حل‌وفصل</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اختلافات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سرمایه‌گذاری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ایکسید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سال‌های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اخیر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انتقادهای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جدی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زمینه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مشروعیت،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شفافیت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و</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کارآمدی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مواجه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بوده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است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اصلاحات</w:t>
      </w:r>
      <w:r w:rsidRPr="00CB23A5">
        <w:rPr>
          <w:rFonts w:ascii="Times New Roman" w:hAnsi="Times New Roman" w:cs="B Nazanin"/>
          <w:sz w:val="20"/>
          <w:rtl/>
          <w:lang w:val="en-GB" w:bidi="ar-SA"/>
        </w:rPr>
        <w:t xml:space="preserve"> </w:t>
      </w:r>
      <w:r w:rsidRPr="00CB23A5">
        <w:rPr>
          <w:rFonts w:ascii="Times New Roman" w:hAnsi="Times New Roman" w:cs="B Nazanin"/>
          <w:sz w:val="20"/>
          <w:rtl/>
          <w:lang w:val="en-GB"/>
        </w:rPr>
        <w:t>۲۰۲۲</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قواعد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ایکسید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پاسخ</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این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چالش‌ها،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پی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بازآرایی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فرایند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داوری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و</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تقویت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اعتماد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عمومی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این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سازوکار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برآمده‌اند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این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پژوهش</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رویکرد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تحلیلی</w:t>
      </w:r>
      <w:r w:rsidRPr="00CB23A5">
        <w:rPr>
          <w:rFonts w:ascii="Arial" w:hAnsi="Arial" w:cs="Arial" w:hint="cs"/>
          <w:sz w:val="20"/>
          <w:rtl/>
          <w:lang w:val="en-GB" w:bidi="ar-SA"/>
        </w:rPr>
        <w:t>–</w:t>
      </w:r>
      <w:r w:rsidRPr="00CB23A5">
        <w:rPr>
          <w:rFonts w:ascii="Times New Roman" w:hAnsi="Times New Roman" w:cs="B Nazanin" w:hint="cs"/>
          <w:sz w:val="20"/>
          <w:rtl/>
          <w:lang w:val="en-GB" w:bidi="ar-SA"/>
        </w:rPr>
        <w:t>انتقادی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بررسی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می‌کند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که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اصلاحات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مزبور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چه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اندازه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تحول</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مفهومی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و</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محتوایی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داوری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سرمایه‌گذاری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انجامیده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و</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چه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نسبتی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بازتعریف</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توازن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میان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حمایت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از</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سرمایه‌گذار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و</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حق</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تنظیم‌گری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دولت‌ها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برقرار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کرده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است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یافته‌ها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نشان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می‌دهد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اصلاحات</w:t>
      </w:r>
      <w:r w:rsidRPr="00CB23A5">
        <w:rPr>
          <w:rFonts w:ascii="Times New Roman" w:hAnsi="Times New Roman" w:cs="B Nazanin"/>
          <w:sz w:val="20"/>
          <w:rtl/>
          <w:lang w:val="en-GB" w:bidi="ar-SA"/>
        </w:rPr>
        <w:t xml:space="preserve"> </w:t>
      </w:r>
      <w:r w:rsidRPr="00CB23A5">
        <w:rPr>
          <w:rFonts w:ascii="Times New Roman" w:hAnsi="Times New Roman" w:cs="B Nazanin"/>
          <w:sz w:val="20"/>
          <w:rtl/>
          <w:lang w:val="en-GB"/>
        </w:rPr>
        <w:t>۲۰۲۲</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سطح</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فرایندی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تقویت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شفافیت،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مدیریت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زمان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و</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هزینه،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و</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توسعه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امکان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مشارکت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اشخاص</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ثالث،</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کارآمدی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و</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پاسخ‌گویی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را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افزایش</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داده‌اند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این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حال،</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بحران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مشروعیت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سطح</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ساختاری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و</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محتوایی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همچنان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به‌طور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کامل</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مرتفع</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نشده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است؛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به‌ویژه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دلیل</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استمرار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ناهمگونی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تفسیری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استانداردهای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حمایتی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و</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فقدان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سازوکار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بازبینی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ماهوی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این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اساس،</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اصلاحات</w:t>
      </w:r>
      <w:r w:rsidRPr="00CB23A5">
        <w:rPr>
          <w:rFonts w:ascii="Times New Roman" w:hAnsi="Times New Roman" w:cs="B Nazanin"/>
          <w:sz w:val="20"/>
          <w:rtl/>
          <w:lang w:val="en-GB" w:bidi="ar-SA"/>
        </w:rPr>
        <w:t xml:space="preserve"> </w:t>
      </w:r>
      <w:r w:rsidRPr="00CB23A5">
        <w:rPr>
          <w:rFonts w:ascii="Times New Roman" w:hAnsi="Times New Roman" w:cs="B Nazanin"/>
          <w:sz w:val="20"/>
          <w:rtl/>
          <w:lang w:val="en-GB"/>
        </w:rPr>
        <w:t>۲۰۲۲</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را</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باید</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گامی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مهم</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مسیر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گذار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از</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داوری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حمایت‌محور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الگوی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تعادل‌محور</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دانست،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نه</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پایان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این</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تحول</w:t>
      </w:r>
      <w:r w:rsidRPr="00CB23A5">
        <w:rPr>
          <w:rFonts w:ascii="Times New Roman" w:hAnsi="Times New Roman" w:cs="B Nazanin"/>
          <w:sz w:val="20"/>
          <w:lang w:val="en-GB" w:bidi="ar-SA"/>
        </w:rPr>
        <w:t>.</w:t>
      </w:r>
    </w:p>
    <w:p w14:paraId="5D236719" w14:textId="77777777" w:rsidR="00CB23A5" w:rsidRPr="00CB23A5" w:rsidRDefault="00CB23A5" w:rsidP="0081613D">
      <w:pPr>
        <w:spacing w:after="0" w:line="276" w:lineRule="auto"/>
        <w:rPr>
          <w:rFonts w:ascii="Times New Roman" w:hAnsi="Times New Roman" w:cs="B Nazanin"/>
          <w:sz w:val="20"/>
          <w:rtl/>
          <w:lang w:val="en-GB" w:bidi="ar-SA"/>
        </w:rPr>
      </w:pPr>
    </w:p>
    <w:p w14:paraId="323724D1" w14:textId="77777777" w:rsidR="00CB23A5" w:rsidRPr="00CB23A5" w:rsidRDefault="00CB23A5" w:rsidP="0081613D">
      <w:pPr>
        <w:bidi/>
        <w:spacing w:after="0" w:line="276" w:lineRule="auto"/>
        <w:jc w:val="both"/>
        <w:rPr>
          <w:rFonts w:ascii="Times New Roman" w:hAnsi="Times New Roman" w:cs="B Nazanin"/>
          <w:b/>
          <w:bCs/>
          <w:sz w:val="20"/>
          <w:rtl/>
          <w:lang w:val="en-GB" w:bidi="ar-SA"/>
        </w:rPr>
      </w:pPr>
      <w:r w:rsidRPr="00CB23A5">
        <w:rPr>
          <w:rFonts w:ascii="Times New Roman" w:hAnsi="Times New Roman" w:cs="B Nazanin" w:hint="cs"/>
          <w:b/>
          <w:bCs/>
          <w:sz w:val="20"/>
          <w:rtl/>
          <w:lang w:val="en-GB" w:bidi="ar-SA"/>
        </w:rPr>
        <w:t>کلمات</w:t>
      </w:r>
      <w:r w:rsidRPr="00CB23A5">
        <w:rPr>
          <w:rFonts w:ascii="Times New Roman" w:hAnsi="Times New Roman" w:cs="B Nazanin"/>
          <w:b/>
          <w:bCs/>
          <w:sz w:val="20"/>
          <w:rtl/>
          <w:lang w:val="en-GB" w:bidi="ar-SA"/>
        </w:rPr>
        <w:t xml:space="preserve"> </w:t>
      </w:r>
      <w:r w:rsidRPr="00CB23A5">
        <w:rPr>
          <w:rFonts w:ascii="Times New Roman" w:hAnsi="Times New Roman" w:cs="B Nazanin" w:hint="cs"/>
          <w:b/>
          <w:bCs/>
          <w:sz w:val="20"/>
          <w:rtl/>
          <w:lang w:val="en-GB" w:bidi="ar-SA"/>
        </w:rPr>
        <w:t>کلیدی</w:t>
      </w:r>
      <w:r w:rsidRPr="00CB23A5">
        <w:rPr>
          <w:rFonts w:ascii="Times New Roman" w:hAnsi="Times New Roman" w:cs="B Nazanin"/>
          <w:b/>
          <w:bCs/>
          <w:sz w:val="20"/>
          <w:lang w:val="en-GB" w:bidi="ar-SA"/>
        </w:rPr>
        <w:t>:</w:t>
      </w:r>
    </w:p>
    <w:p w14:paraId="23BE9847" w14:textId="7B7B0F77" w:rsidR="00C5314E" w:rsidRPr="00AB0D73" w:rsidRDefault="00DB4569" w:rsidP="0081613D">
      <w:pPr>
        <w:bidi/>
        <w:spacing w:after="0" w:line="276" w:lineRule="auto"/>
        <w:jc w:val="both"/>
        <w:rPr>
          <w:rFonts w:ascii="Times New Roman" w:hAnsi="Times New Roman" w:cs="B Nazanin"/>
          <w:sz w:val="20"/>
          <w:rtl/>
          <w:lang w:val="en-GB"/>
        </w:rPr>
      </w:pPr>
      <w:r w:rsidRPr="00CB23A5">
        <w:rPr>
          <w:rFonts w:ascii="Times New Roman" w:hAnsi="Times New Roman" w:cs="B Nazanin" w:hint="cs"/>
          <w:sz w:val="20"/>
          <w:rtl/>
          <w:lang w:val="en-GB" w:bidi="ar-SA"/>
        </w:rPr>
        <w:t>مرکز</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بین‌المللی</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حل‌وفصل</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اختلافات</w:t>
      </w:r>
      <w:r w:rsidRPr="00CB23A5">
        <w:rPr>
          <w:rFonts w:ascii="Times New Roman" w:hAnsi="Times New Roman" w:cs="B Nazanin"/>
          <w:sz w:val="20"/>
          <w:rtl/>
          <w:lang w:val="en-GB" w:bidi="ar-SA"/>
        </w:rPr>
        <w:t xml:space="preserve"> </w:t>
      </w:r>
      <w:r w:rsidRPr="00CB23A5">
        <w:rPr>
          <w:rFonts w:ascii="Times New Roman" w:hAnsi="Times New Roman" w:cs="B Nazanin" w:hint="cs"/>
          <w:sz w:val="20"/>
          <w:rtl/>
          <w:lang w:val="en-GB" w:bidi="ar-SA"/>
        </w:rPr>
        <w:t>سرمایه‌گذاری</w:t>
      </w:r>
      <w:r w:rsidR="00CB23A5" w:rsidRPr="00CB23A5">
        <w:rPr>
          <w:rFonts w:ascii="Times New Roman" w:hAnsi="Times New Roman" w:cs="B Nazanin" w:hint="cs"/>
          <w:sz w:val="20"/>
          <w:rtl/>
          <w:lang w:val="en-GB" w:bidi="ar-SA"/>
        </w:rPr>
        <w:t>،</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داوری</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سرمایه‌گذاری،</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اصلاحات</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sz w:val="20"/>
          <w:rtl/>
          <w:lang w:val="en-GB"/>
        </w:rPr>
        <w:t>۲۰۲۲</w:t>
      </w:r>
      <w:r w:rsidR="00CB23A5" w:rsidRPr="00CB23A5">
        <w:rPr>
          <w:rFonts w:ascii="Times New Roman" w:hAnsi="Times New Roman" w:cs="B Nazanin" w:hint="cs"/>
          <w:sz w:val="20"/>
          <w:rtl/>
          <w:lang w:val="en-GB" w:bidi="ar-SA"/>
        </w:rPr>
        <w:t>،</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مشروعیت،</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شفافیت،</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کارآمدی،</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رفتار</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منصفانه</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و</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عادلانه،</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حق</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تنظیم‌گری</w:t>
      </w:r>
      <w:r w:rsidR="00CB23A5" w:rsidRPr="00CB23A5">
        <w:rPr>
          <w:rFonts w:ascii="Times New Roman" w:hAnsi="Times New Roman" w:cs="B Nazanin"/>
          <w:sz w:val="20"/>
          <w:rtl/>
          <w:lang w:val="en-GB" w:bidi="ar-SA"/>
        </w:rPr>
        <w:t xml:space="preserve"> </w:t>
      </w:r>
      <w:r w:rsidR="00CB23A5" w:rsidRPr="00CB23A5">
        <w:rPr>
          <w:rFonts w:ascii="Times New Roman" w:hAnsi="Times New Roman" w:cs="B Nazanin" w:hint="cs"/>
          <w:sz w:val="20"/>
          <w:rtl/>
          <w:lang w:val="en-GB" w:bidi="ar-SA"/>
        </w:rPr>
        <w:t>دولت</w:t>
      </w:r>
    </w:p>
    <w:p w14:paraId="1BC0148E" w14:textId="77777777" w:rsidR="00C5314E" w:rsidRPr="00AB0D73" w:rsidRDefault="00C5314E" w:rsidP="0081613D">
      <w:pPr>
        <w:bidi/>
        <w:spacing w:after="0" w:line="276" w:lineRule="auto"/>
        <w:jc w:val="both"/>
        <w:rPr>
          <w:rFonts w:ascii="Times New Roman" w:hAnsi="Times New Roman" w:cs="B Nazanin"/>
          <w:sz w:val="20"/>
          <w:rtl/>
          <w:lang w:val="en-GB"/>
        </w:rPr>
      </w:pPr>
    </w:p>
    <w:p w14:paraId="08C3DD64" w14:textId="77777777" w:rsidR="00C5314E" w:rsidRPr="00AB0D73" w:rsidRDefault="00C5314E" w:rsidP="0081613D">
      <w:pPr>
        <w:bidi/>
        <w:spacing w:after="0" w:line="276" w:lineRule="auto"/>
        <w:jc w:val="both"/>
        <w:rPr>
          <w:rFonts w:ascii="Times New Roman" w:hAnsi="Times New Roman" w:cs="B Nazanin"/>
          <w:sz w:val="20"/>
          <w:rtl/>
          <w:lang w:val="en-GB"/>
        </w:rPr>
      </w:pPr>
    </w:p>
    <w:p w14:paraId="6E1A7488" w14:textId="77777777" w:rsidR="00C5314E" w:rsidRPr="00AB0D73" w:rsidRDefault="00C5314E" w:rsidP="0081613D">
      <w:pPr>
        <w:bidi/>
        <w:spacing w:after="0" w:line="276" w:lineRule="auto"/>
        <w:jc w:val="both"/>
        <w:rPr>
          <w:rFonts w:ascii="Times New Roman" w:hAnsi="Times New Roman" w:cs="B Nazanin"/>
          <w:sz w:val="20"/>
          <w:rtl/>
          <w:lang w:val="en-GB"/>
        </w:rPr>
      </w:pPr>
    </w:p>
    <w:p w14:paraId="70F3E4C3" w14:textId="77777777" w:rsidR="00C5314E" w:rsidRPr="00AB0D73" w:rsidRDefault="00C5314E" w:rsidP="0081613D">
      <w:pPr>
        <w:bidi/>
        <w:spacing w:after="0" w:line="276" w:lineRule="auto"/>
        <w:jc w:val="both"/>
        <w:rPr>
          <w:rFonts w:ascii="Times New Roman" w:hAnsi="Times New Roman" w:cs="B Nazanin"/>
          <w:sz w:val="20"/>
          <w:rtl/>
          <w:lang w:val="en-GB"/>
        </w:rPr>
      </w:pPr>
    </w:p>
    <w:p w14:paraId="19A74592" w14:textId="77777777" w:rsidR="00C5314E" w:rsidRPr="00AB0D73" w:rsidRDefault="00C5314E" w:rsidP="0081613D">
      <w:pPr>
        <w:bidi/>
        <w:spacing w:after="0" w:line="276" w:lineRule="auto"/>
        <w:jc w:val="both"/>
        <w:rPr>
          <w:rFonts w:ascii="Times New Roman" w:hAnsi="Times New Roman" w:cs="B Nazanin"/>
          <w:sz w:val="20"/>
          <w:rtl/>
          <w:lang w:val="en-GB"/>
        </w:rPr>
      </w:pPr>
    </w:p>
    <w:p w14:paraId="35F72A3D" w14:textId="77777777" w:rsidR="00C5314E" w:rsidRDefault="00C5314E" w:rsidP="0081613D">
      <w:pPr>
        <w:bidi/>
        <w:spacing w:after="0" w:line="276" w:lineRule="auto"/>
        <w:jc w:val="both"/>
        <w:rPr>
          <w:rFonts w:ascii="Times New Roman" w:hAnsi="Times New Roman" w:cs="B Nazanin"/>
          <w:sz w:val="20"/>
          <w:rtl/>
          <w:lang w:val="en-GB"/>
        </w:rPr>
      </w:pPr>
    </w:p>
    <w:p w14:paraId="3FB23839" w14:textId="77777777" w:rsidR="00CB23A5" w:rsidRDefault="00CB23A5" w:rsidP="0081613D">
      <w:pPr>
        <w:bidi/>
        <w:spacing w:after="0" w:line="276" w:lineRule="auto"/>
        <w:jc w:val="both"/>
        <w:rPr>
          <w:rFonts w:ascii="Times New Roman" w:hAnsi="Times New Roman" w:cs="B Nazanin"/>
          <w:sz w:val="20"/>
          <w:rtl/>
          <w:lang w:val="en-GB"/>
        </w:rPr>
      </w:pPr>
    </w:p>
    <w:p w14:paraId="7EF0A26A" w14:textId="77777777" w:rsidR="00CB23A5" w:rsidRDefault="00CB23A5" w:rsidP="0081613D">
      <w:pPr>
        <w:bidi/>
        <w:spacing w:after="0" w:line="276" w:lineRule="auto"/>
        <w:jc w:val="both"/>
        <w:rPr>
          <w:rFonts w:ascii="Times New Roman" w:hAnsi="Times New Roman" w:cs="B Nazanin"/>
          <w:sz w:val="20"/>
          <w:rtl/>
          <w:lang w:val="en-GB"/>
        </w:rPr>
      </w:pPr>
    </w:p>
    <w:p w14:paraId="51681CEA" w14:textId="77777777" w:rsidR="000616EF" w:rsidRDefault="000616EF" w:rsidP="000616EF">
      <w:pPr>
        <w:bidi/>
        <w:spacing w:after="0" w:line="276" w:lineRule="auto"/>
        <w:jc w:val="both"/>
        <w:rPr>
          <w:rFonts w:ascii="Times New Roman" w:hAnsi="Times New Roman" w:cs="B Nazanin"/>
          <w:sz w:val="20"/>
          <w:rtl/>
          <w:lang w:val="en-GB"/>
        </w:rPr>
      </w:pPr>
    </w:p>
    <w:p w14:paraId="7C1962BF" w14:textId="59F75E28" w:rsidR="007F4FED" w:rsidRPr="00AB0D73" w:rsidRDefault="007F4FED" w:rsidP="0081613D">
      <w:pPr>
        <w:bidi/>
        <w:spacing w:after="0" w:line="276" w:lineRule="auto"/>
        <w:jc w:val="both"/>
        <w:rPr>
          <w:rFonts w:ascii="Times New Roman" w:hAnsi="Times New Roman" w:cs="B Nazanin"/>
          <w:b/>
          <w:bCs/>
          <w:sz w:val="20"/>
          <w:rtl/>
          <w:lang w:val="en-GB"/>
        </w:rPr>
      </w:pPr>
      <w:r w:rsidRPr="00AB0D73">
        <w:rPr>
          <w:rFonts w:ascii="Times New Roman" w:hAnsi="Times New Roman" w:cs="B Nazanin" w:hint="cs"/>
          <w:b/>
          <w:bCs/>
          <w:sz w:val="20"/>
          <w:rtl/>
          <w:lang w:val="en-GB"/>
        </w:rPr>
        <w:lastRenderedPageBreak/>
        <w:t>مقدمه</w:t>
      </w:r>
    </w:p>
    <w:p w14:paraId="68DFABCB" w14:textId="77777777" w:rsidR="003D297D" w:rsidRPr="003D297D" w:rsidRDefault="003D297D" w:rsidP="0081613D">
      <w:pPr>
        <w:bidi/>
        <w:spacing w:after="0" w:line="276" w:lineRule="auto"/>
        <w:jc w:val="both"/>
        <w:rPr>
          <w:rFonts w:ascii="Times New Roman" w:hAnsi="Times New Roman" w:cs="B Nazanin"/>
          <w:sz w:val="20"/>
          <w:rtl/>
          <w:lang w:val="en-GB"/>
        </w:rPr>
      </w:pPr>
      <w:r w:rsidRPr="003D297D">
        <w:rPr>
          <w:rFonts w:ascii="Times New Roman" w:hAnsi="Times New Roman" w:cs="B Nazanin" w:hint="cs"/>
          <w:sz w:val="20"/>
          <w:rtl/>
          <w:lang w:val="en-GB"/>
        </w:rPr>
        <w:t>داوری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سرمایه‌گذاری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چارچوب</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ایکسید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طی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دهه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اخیر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صرفاً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یک</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سازوکار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حل‌وفصل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اختلاف</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باقی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نمانده،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بلکه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یکی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مهم‌ترین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میدان‌های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شکل‌گیری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بازتعریف</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معیارهای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هنجاری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حقوق</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بین‌الملل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اقتصادی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تبدیل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شده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اهمیت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تحول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آن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بخش</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قابل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توجهی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منازعات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سرمایه‌گذاری،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دیگر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تنها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نقض</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تعهدات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قراردادی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یا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محاسبه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خسارت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نیست،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بلکه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سطحی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عمیق‌تر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تعیین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مرزهای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مشروع</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مداخله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دولت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سیاست‌گذاری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عمومی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مربوط</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می‌شود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وضعیت،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استانداردهایی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مانند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رفتار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منصفانه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عادلانه،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سلب</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مالکیت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غیرمستقیم</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انتظارات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مشروع،</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نقش</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معیارهای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سنجش</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مشروعیت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تنظیم‌گری</w:t>
      </w:r>
      <w:r w:rsidRPr="003D297D">
        <w:rPr>
          <w:rFonts w:ascii="Times New Roman" w:hAnsi="Times New Roman" w:cs="B Nazanin" w:hint="eastAsia"/>
          <w:sz w:val="20"/>
          <w:rtl/>
          <w:lang w:val="en-GB"/>
        </w:rPr>
        <w:t>»</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پیدا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کرده‌اند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قالب</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قواعد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حمایتی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صرف</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فراتر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رفته‌اند</w:t>
      </w:r>
      <w:r w:rsidRPr="003D297D">
        <w:rPr>
          <w:rFonts w:ascii="Times New Roman" w:hAnsi="Times New Roman" w:cs="B Nazanin"/>
          <w:sz w:val="20"/>
          <w:lang w:val="en-GB"/>
        </w:rPr>
        <w:t>.</w:t>
      </w:r>
    </w:p>
    <w:p w14:paraId="774879E1" w14:textId="77777777" w:rsidR="003D297D" w:rsidRPr="003D297D" w:rsidRDefault="003D297D" w:rsidP="0081613D">
      <w:pPr>
        <w:bidi/>
        <w:spacing w:after="0" w:line="276" w:lineRule="auto"/>
        <w:jc w:val="both"/>
        <w:rPr>
          <w:rFonts w:ascii="Times New Roman" w:hAnsi="Times New Roman" w:cs="B Nazanin"/>
          <w:sz w:val="20"/>
          <w:rtl/>
          <w:lang w:val="en-GB"/>
        </w:rPr>
      </w:pPr>
      <w:r w:rsidRPr="003D297D">
        <w:rPr>
          <w:rFonts w:ascii="Times New Roman" w:hAnsi="Times New Roman" w:cs="B Nazanin" w:hint="cs"/>
          <w:sz w:val="20"/>
          <w:rtl/>
          <w:lang w:val="en-GB"/>
        </w:rPr>
        <w:t>اصلاحات</w:t>
      </w:r>
      <w:r w:rsidRPr="003D297D">
        <w:rPr>
          <w:rFonts w:ascii="Times New Roman" w:hAnsi="Times New Roman" w:cs="B Nazanin"/>
          <w:sz w:val="20"/>
          <w:rtl/>
          <w:lang w:val="en-GB"/>
        </w:rPr>
        <w:t xml:space="preserve"> ۲۰۲۲ </w:t>
      </w:r>
      <w:r w:rsidRPr="003D297D">
        <w:rPr>
          <w:rFonts w:ascii="Times New Roman" w:hAnsi="Times New Roman" w:cs="B Nazanin" w:hint="cs"/>
          <w:sz w:val="20"/>
          <w:rtl/>
          <w:lang w:val="en-GB"/>
        </w:rPr>
        <w:t>ایکسید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چنین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زمینه‌ای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باید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فهم</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شود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اصلاحات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اگرچه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ظاهر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ماهیت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آیینی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فرایندی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دارند،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اما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اهمیت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واقعی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آن‌ها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زمانی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آشکار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می‌شود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امتداد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یک</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تحول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مفهومی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محتوایی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گسترده‌تر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تحلیل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شوند؛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تحولی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طی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آن،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رویکرد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داوری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سرمایه‌گذاری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حمایت‌محوری</w:t>
      </w:r>
      <w:r w:rsidRPr="003D297D">
        <w:rPr>
          <w:rFonts w:ascii="Times New Roman" w:hAnsi="Times New Roman" w:cs="B Nazanin" w:hint="eastAsia"/>
          <w:sz w:val="20"/>
          <w:rtl/>
          <w:lang w:val="en-GB"/>
        </w:rPr>
        <w:t>»</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سوی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تعادل‌محوری</w:t>
      </w:r>
      <w:r w:rsidRPr="003D297D">
        <w:rPr>
          <w:rFonts w:ascii="Times New Roman" w:hAnsi="Times New Roman" w:cs="B Nazanin" w:hint="eastAsia"/>
          <w:sz w:val="20"/>
          <w:rtl/>
          <w:lang w:val="en-GB"/>
        </w:rPr>
        <w:t>»</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حرکت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کرده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نشانه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چرخش</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می‌توان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محدودسازی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تدریجی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خوانش‌های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موسّع</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رفتار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منصفانه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عادلانه،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بازتعریف</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انتظارات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مشروع</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به‌عنوان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مفهومی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عینی‌تر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وابسته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تعهدات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مشخص</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دولت،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تقویت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جایگاه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حق</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تنظیم‌گری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دولت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به‌مثابه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یک</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قید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هنجاری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مشاهده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کرد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نتیجه،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اصلاحات</w:t>
      </w:r>
      <w:r w:rsidRPr="003D297D">
        <w:rPr>
          <w:rFonts w:ascii="Times New Roman" w:hAnsi="Times New Roman" w:cs="B Nazanin"/>
          <w:sz w:val="20"/>
          <w:rtl/>
          <w:lang w:val="en-GB"/>
        </w:rPr>
        <w:t xml:space="preserve"> ۲۰۲۲ </w:t>
      </w:r>
      <w:r w:rsidRPr="003D297D">
        <w:rPr>
          <w:rFonts w:ascii="Times New Roman" w:hAnsi="Times New Roman" w:cs="B Nazanin" w:hint="cs"/>
          <w:sz w:val="20"/>
          <w:rtl/>
          <w:lang w:val="en-GB"/>
        </w:rPr>
        <w:t>تنها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ابزار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افزایش</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سرعت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یا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کاهش</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هزینه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رسیدگی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نیستند،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بلکه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بخشی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روندی‌اند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هدف</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آن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بازسازی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قابلیت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دفاع</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دولت‌ها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برابر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ادعاهایی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می‌توانند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سیاست‌های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عمومی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حوزه‌هایی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مانند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سلامت،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محیط</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زیست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رفاه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اجتماعی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معرض</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مسئولیت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بین‌المللی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قرار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دهند</w:t>
      </w:r>
      <w:r w:rsidRPr="003D297D">
        <w:rPr>
          <w:rFonts w:ascii="Times New Roman" w:hAnsi="Times New Roman" w:cs="B Nazanin"/>
          <w:sz w:val="20"/>
          <w:lang w:val="en-GB"/>
        </w:rPr>
        <w:t>.</w:t>
      </w:r>
    </w:p>
    <w:p w14:paraId="5BA91E9F" w14:textId="77777777" w:rsidR="003D297D" w:rsidRPr="003D297D" w:rsidRDefault="003D297D" w:rsidP="0081613D">
      <w:pPr>
        <w:bidi/>
        <w:spacing w:after="0" w:line="276" w:lineRule="auto"/>
        <w:jc w:val="both"/>
        <w:rPr>
          <w:rFonts w:ascii="Times New Roman" w:hAnsi="Times New Roman" w:cs="B Nazanin"/>
          <w:sz w:val="20"/>
          <w:rtl/>
          <w:lang w:val="en-GB"/>
        </w:rPr>
      </w:pPr>
      <w:r w:rsidRPr="003D297D">
        <w:rPr>
          <w:rFonts w:ascii="Times New Roman" w:hAnsi="Times New Roman" w:cs="B Nazanin" w:hint="cs"/>
          <w:sz w:val="20"/>
          <w:rtl/>
          <w:lang w:val="en-GB"/>
        </w:rPr>
        <w:t>مسئله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محوری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ارزیابی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اصلاحات</w:t>
      </w:r>
      <w:r w:rsidRPr="003D297D">
        <w:rPr>
          <w:rFonts w:ascii="Times New Roman" w:hAnsi="Times New Roman" w:cs="B Nazanin"/>
          <w:sz w:val="20"/>
          <w:rtl/>
          <w:lang w:val="en-GB"/>
        </w:rPr>
        <w:t xml:space="preserve"> ۲۰۲۲</w:t>
      </w:r>
      <w:r w:rsidRPr="003D297D">
        <w:rPr>
          <w:rFonts w:ascii="Times New Roman" w:hAnsi="Times New Roman" w:cs="B Nazanin" w:hint="cs"/>
          <w:sz w:val="20"/>
          <w:rtl/>
          <w:lang w:val="en-GB"/>
        </w:rPr>
        <w:t>،</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بنابراین،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سنجش</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میزان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موفقیت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آن‌ها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تثبیت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تحول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مفهومی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محتوایی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آیا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اصلاحات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توانسته‌اند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منطق</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تصمیم‌گیری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نحوی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سامان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دهند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تفسیر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استانداردهای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حمایتی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ملاحظات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حکمرانی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عمومی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سازگارتر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شود،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یا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صرفاً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بازآرایی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سازوکارهای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شکلی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مدیریتی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محدود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مانده‌اند؟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پاسخ</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مسئله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مستلزم</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آن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تحلیل،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جای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تکرار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کلیات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مربوط</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ساختار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ایکسید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یا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فهرست‌کردن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پرونده‌های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متعدد،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نقاطی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متمرکز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شود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تغییر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هسته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مفهومی</w:t>
      </w:r>
      <w:r w:rsidRPr="003D297D">
        <w:rPr>
          <w:rFonts w:ascii="Times New Roman" w:hAnsi="Times New Roman" w:cs="B Nazanin" w:hint="eastAsia"/>
          <w:sz w:val="20"/>
          <w:rtl/>
          <w:lang w:val="en-GB"/>
        </w:rPr>
        <w:t>»</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داوری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سرمایه‌گذاری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نشان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می‌دهد؛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جمله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تحول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تعریف</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کارکرد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رفتار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منصفانه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عادلانه،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تحول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جایگاه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حق</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تنظیم‌گری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دولت،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نقش</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شفافیت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مشارکت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عمومی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بازسازی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مشروعیت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داوری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سرمایه‌گذاری</w:t>
      </w:r>
      <w:r w:rsidRPr="003D297D">
        <w:rPr>
          <w:rFonts w:ascii="Times New Roman" w:hAnsi="Times New Roman" w:cs="B Nazanin"/>
          <w:sz w:val="20"/>
          <w:lang w:val="en-GB"/>
        </w:rPr>
        <w:t>.</w:t>
      </w:r>
    </w:p>
    <w:p w14:paraId="76E870D6" w14:textId="21C50212" w:rsidR="008D077F" w:rsidRDefault="003D297D" w:rsidP="0081613D">
      <w:pPr>
        <w:bidi/>
        <w:spacing w:after="0" w:line="276" w:lineRule="auto"/>
        <w:jc w:val="both"/>
        <w:rPr>
          <w:rFonts w:ascii="Times New Roman" w:hAnsi="Times New Roman" w:cs="B Nazanin"/>
          <w:sz w:val="20"/>
          <w:rtl/>
          <w:lang w:val="en-GB"/>
        </w:rPr>
      </w:pPr>
      <w:r w:rsidRPr="003D297D">
        <w:rPr>
          <w:rFonts w:ascii="Times New Roman" w:hAnsi="Times New Roman" w:cs="B Nazanin" w:hint="cs"/>
          <w:sz w:val="20"/>
          <w:rtl/>
          <w:lang w:val="en-GB"/>
        </w:rPr>
        <w:t>بر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مبنا،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فرض</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قابل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دفاع</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آن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اصلاحات</w:t>
      </w:r>
      <w:r w:rsidRPr="003D297D">
        <w:rPr>
          <w:rFonts w:ascii="Times New Roman" w:hAnsi="Times New Roman" w:cs="B Nazanin"/>
          <w:sz w:val="20"/>
          <w:rtl/>
          <w:lang w:val="en-GB"/>
        </w:rPr>
        <w:t xml:space="preserve"> ۲۰۲۲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سطح</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رویه‌ای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ارتقای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شفافیت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کارآمدی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انجامیده‌اند،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اما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بحران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مشروعیت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تنها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زمانی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محقق</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می‌شود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انسجام</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ماهوی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تفسیر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استانداردها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تقویت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گردد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سازوکارهای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کنترل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درون‌نظامی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سطح</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نظارت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شکلی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فراتر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رود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منظر،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اصلاحات</w:t>
      </w:r>
      <w:r w:rsidRPr="003D297D">
        <w:rPr>
          <w:rFonts w:ascii="Times New Roman" w:hAnsi="Times New Roman" w:cs="B Nazanin"/>
          <w:sz w:val="20"/>
          <w:rtl/>
          <w:lang w:val="en-GB"/>
        </w:rPr>
        <w:t xml:space="preserve"> ۲۰۲۲ </w:t>
      </w:r>
      <w:r w:rsidRPr="003D297D">
        <w:rPr>
          <w:rFonts w:ascii="Times New Roman" w:hAnsi="Times New Roman" w:cs="B Nazanin" w:hint="cs"/>
          <w:sz w:val="20"/>
          <w:rtl/>
          <w:lang w:val="en-GB"/>
        </w:rPr>
        <w:t>را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باید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گامی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مهم</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مسیر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بازتنظیم</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داوری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سرمایه‌گذاری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دانست؛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گامی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که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ظرفیت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ایجاد</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تعادل</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میان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حمایت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از</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سرمایه‌گذار</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اقتضائات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حاکمیت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تنظیم‌گرانه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دولت</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را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افزایش</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داده،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اما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همچنان</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با</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چالش‌های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مفهومی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و</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ساختاری</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مواجه</w:t>
      </w:r>
      <w:r w:rsidRPr="003D297D">
        <w:rPr>
          <w:rFonts w:ascii="Times New Roman" w:hAnsi="Times New Roman" w:cs="B Nazanin"/>
          <w:sz w:val="20"/>
          <w:rtl/>
          <w:lang w:val="en-GB"/>
        </w:rPr>
        <w:t xml:space="preserve"> </w:t>
      </w:r>
      <w:r w:rsidRPr="003D297D">
        <w:rPr>
          <w:rFonts w:ascii="Times New Roman" w:hAnsi="Times New Roman" w:cs="B Nazanin" w:hint="cs"/>
          <w:sz w:val="20"/>
          <w:rtl/>
          <w:lang w:val="en-GB"/>
        </w:rPr>
        <w:t>است</w:t>
      </w:r>
      <w:r w:rsidRPr="003D297D">
        <w:rPr>
          <w:rFonts w:ascii="Times New Roman" w:hAnsi="Times New Roman" w:cs="B Nazanin"/>
          <w:sz w:val="20"/>
          <w:rtl/>
          <w:lang w:val="en-GB"/>
        </w:rPr>
        <w:t>.</w:t>
      </w:r>
    </w:p>
    <w:p w14:paraId="6815B59A" w14:textId="77777777" w:rsidR="00AB0D73" w:rsidRDefault="00AB0D73" w:rsidP="0081613D">
      <w:pPr>
        <w:bidi/>
        <w:spacing w:after="0" w:line="276" w:lineRule="auto"/>
        <w:jc w:val="both"/>
        <w:rPr>
          <w:rFonts w:ascii="Times New Roman" w:hAnsi="Times New Roman" w:cs="B Nazanin"/>
          <w:sz w:val="20"/>
          <w:rtl/>
          <w:lang w:val="en-GB"/>
        </w:rPr>
      </w:pPr>
    </w:p>
    <w:p w14:paraId="1C75E89E" w14:textId="77777777" w:rsidR="00AB0D73" w:rsidRDefault="00AB0D73" w:rsidP="0081613D">
      <w:pPr>
        <w:bidi/>
        <w:spacing w:after="0" w:line="276" w:lineRule="auto"/>
        <w:jc w:val="both"/>
        <w:rPr>
          <w:rFonts w:ascii="Times New Roman" w:hAnsi="Times New Roman" w:cs="B Nazanin"/>
          <w:sz w:val="20"/>
          <w:rtl/>
          <w:lang w:val="en-GB"/>
        </w:rPr>
      </w:pPr>
    </w:p>
    <w:p w14:paraId="5CF30EDA" w14:textId="77777777" w:rsidR="00AB0D73" w:rsidRDefault="00AB0D73" w:rsidP="0081613D">
      <w:pPr>
        <w:bidi/>
        <w:spacing w:after="0" w:line="276" w:lineRule="auto"/>
        <w:jc w:val="both"/>
        <w:rPr>
          <w:rFonts w:ascii="Times New Roman" w:hAnsi="Times New Roman" w:cs="B Nazanin"/>
          <w:sz w:val="20"/>
          <w:rtl/>
          <w:lang w:val="en-GB"/>
        </w:rPr>
      </w:pPr>
    </w:p>
    <w:p w14:paraId="1DC8D42E" w14:textId="77777777" w:rsidR="00AB0D73" w:rsidRDefault="00AB0D73" w:rsidP="0081613D">
      <w:pPr>
        <w:bidi/>
        <w:spacing w:after="0" w:line="276" w:lineRule="auto"/>
        <w:jc w:val="both"/>
        <w:rPr>
          <w:rFonts w:ascii="Times New Roman" w:hAnsi="Times New Roman" w:cs="B Nazanin"/>
          <w:sz w:val="20"/>
          <w:rtl/>
          <w:lang w:val="en-GB"/>
        </w:rPr>
      </w:pPr>
    </w:p>
    <w:p w14:paraId="5D678F86" w14:textId="77777777" w:rsidR="003D297D" w:rsidRDefault="003D297D" w:rsidP="0081613D">
      <w:pPr>
        <w:bidi/>
        <w:spacing w:after="0" w:line="276" w:lineRule="auto"/>
        <w:jc w:val="both"/>
        <w:rPr>
          <w:rFonts w:ascii="Times New Roman" w:hAnsi="Times New Roman" w:cs="B Nazanin"/>
          <w:sz w:val="20"/>
          <w:rtl/>
          <w:lang w:val="en-GB"/>
        </w:rPr>
      </w:pPr>
    </w:p>
    <w:p w14:paraId="568F6E81" w14:textId="77777777" w:rsidR="003D297D" w:rsidRDefault="003D297D" w:rsidP="0081613D">
      <w:pPr>
        <w:bidi/>
        <w:spacing w:after="0" w:line="276" w:lineRule="auto"/>
        <w:jc w:val="both"/>
        <w:rPr>
          <w:rFonts w:ascii="Times New Roman" w:hAnsi="Times New Roman" w:cs="B Nazanin"/>
          <w:sz w:val="20"/>
          <w:rtl/>
          <w:lang w:val="en-GB"/>
        </w:rPr>
      </w:pPr>
    </w:p>
    <w:p w14:paraId="308C85BA" w14:textId="77777777" w:rsidR="00AB0D73" w:rsidRPr="00AB0D73" w:rsidRDefault="00AB0D73" w:rsidP="0081613D">
      <w:pPr>
        <w:bidi/>
        <w:spacing w:after="0" w:line="276" w:lineRule="auto"/>
        <w:jc w:val="both"/>
        <w:rPr>
          <w:rFonts w:ascii="Times New Roman" w:hAnsi="Times New Roman" w:cs="B Nazanin"/>
          <w:sz w:val="20"/>
          <w:lang w:val="en-GB"/>
        </w:rPr>
      </w:pPr>
    </w:p>
    <w:p w14:paraId="3484A9E7" w14:textId="3C826D49" w:rsidR="00DF39AA" w:rsidRPr="00CB23A5" w:rsidRDefault="00DF39AA" w:rsidP="0081613D">
      <w:pPr>
        <w:bidi/>
        <w:spacing w:after="0" w:line="276" w:lineRule="auto"/>
        <w:jc w:val="both"/>
        <w:rPr>
          <w:rFonts w:ascii="Times New Roman" w:hAnsi="Times New Roman" w:cs="B Nazanin"/>
          <w:b/>
          <w:bCs/>
          <w:sz w:val="20"/>
          <w:lang w:val="en-GB"/>
        </w:rPr>
      </w:pPr>
      <w:r w:rsidRPr="00CB23A5">
        <w:rPr>
          <w:rFonts w:ascii="Times New Roman" w:hAnsi="Times New Roman" w:cs="B Nazanin"/>
          <w:b/>
          <w:bCs/>
          <w:sz w:val="20"/>
          <w:rtl/>
          <w:lang w:val="en-GB"/>
        </w:rPr>
        <w:lastRenderedPageBreak/>
        <w:t>۱</w:t>
      </w:r>
      <w:r w:rsidRPr="00CB23A5">
        <w:rPr>
          <w:rFonts w:ascii="Times New Roman" w:hAnsi="Times New Roman" w:cs="B Nazanin"/>
          <w:b/>
          <w:bCs/>
          <w:sz w:val="20"/>
          <w:rtl/>
          <w:lang w:val="en-GB" w:bidi="ar-SA"/>
        </w:rPr>
        <w:t xml:space="preserve"> ـ مبانی نظری و تاریخی تشکیل ایکسید</w:t>
      </w:r>
      <w:r w:rsidRPr="00CB23A5">
        <w:rPr>
          <w:rFonts w:ascii="Times New Roman" w:hAnsi="Times New Roman" w:cs="B Nazanin"/>
          <w:b/>
          <w:bCs/>
          <w:sz w:val="20"/>
          <w:lang w:val="en-GB"/>
        </w:rPr>
        <w:t xml:space="preserve"> </w:t>
      </w:r>
    </w:p>
    <w:p w14:paraId="6076C3A8" w14:textId="51184B80"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تحلیل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ایکسید بدون بازخوانی تحولاتی که پیش‌تر در «هسته مفهومی و محتوایی» داوری سرمایه‌گذاری شکل گرفته‌اند، ناقص خواهد بود. زیرا اصلاحات اخیر در بسیاری موارد نه آغازگر یک تغییر ماهوی، بلکه نهادینه‌ساز روندی هستند که از دل رویه‌های داوری و چرخش‌های تفسیری در استانداردهای حمایتی پدید آمده است</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Dolzer</w:t>
      </w:r>
      <w:proofErr w:type="spellEnd"/>
      <w:r w:rsidRPr="00DF39AA">
        <w:rPr>
          <w:rFonts w:ascii="Times New Roman" w:hAnsi="Times New Roman" w:cs="B Nazanin"/>
          <w:sz w:val="20"/>
          <w:lang w:val="en-GB"/>
        </w:rPr>
        <w:t xml:space="preserve"> &amp; </w:t>
      </w:r>
      <w:proofErr w:type="spellStart"/>
      <w:r w:rsidRPr="00DF39AA">
        <w:rPr>
          <w:rFonts w:ascii="Times New Roman" w:hAnsi="Times New Roman" w:cs="B Nazanin"/>
          <w:sz w:val="20"/>
          <w:lang w:val="en-GB"/>
        </w:rPr>
        <w:t>Schreuer</w:t>
      </w:r>
      <w:proofErr w:type="spellEnd"/>
      <w:r w:rsidRPr="00DF39AA">
        <w:rPr>
          <w:rFonts w:ascii="Times New Roman" w:hAnsi="Times New Roman" w:cs="B Nazanin"/>
          <w:sz w:val="20"/>
          <w:lang w:val="en-GB"/>
        </w:rPr>
        <w:t xml:space="preserve">, 2022). </w:t>
      </w:r>
      <w:r w:rsidR="00E00870">
        <w:rPr>
          <w:rFonts w:ascii="Times New Roman" w:hAnsi="Times New Roman" w:cs="B Nazanin" w:hint="cs"/>
          <w:sz w:val="20"/>
          <w:rtl/>
          <w:lang w:val="en-GB"/>
        </w:rPr>
        <w:t xml:space="preserve"> </w:t>
      </w:r>
      <w:r w:rsidRPr="00DF39AA">
        <w:rPr>
          <w:rFonts w:ascii="Times New Roman" w:hAnsi="Times New Roman" w:cs="B Nazanin"/>
          <w:sz w:val="20"/>
          <w:rtl/>
          <w:lang w:val="en-GB" w:bidi="ar-SA"/>
        </w:rPr>
        <w:t xml:space="preserve">از این منظر، تمرکز بر کلیات ساختاری ایکسید یا تاریخچه نهادی آن، کمکی به فهم منطق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نمی‌کند؛ آنچه اهمیت دارد شناسایی نقاطی است که در آن‌ها داوری سرمایه‌گذاری دچار «تحول مفهومی» شده و در نتیجه، رابطه میان حمایت از سرمایه‌گذار و حاکمیت تنظیم‌گرانه دولت بازتعریف گردیده است</w:t>
      </w:r>
      <w:r w:rsidR="000616EF">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Salacuse</w:t>
      </w:r>
      <w:proofErr w:type="spellEnd"/>
      <w:r w:rsidRPr="00DF39AA">
        <w:rPr>
          <w:rFonts w:ascii="Times New Roman" w:hAnsi="Times New Roman" w:cs="B Nazanin"/>
          <w:sz w:val="20"/>
          <w:lang w:val="en-GB"/>
        </w:rPr>
        <w:t>, 2022)</w:t>
      </w:r>
    </w:p>
    <w:p w14:paraId="473CDB79" w14:textId="228F157C"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در این چارچوب، سه محور تحول مفهومی و محتوایی بیشترین نقش را در بازسازی منطق داوری سرمایه‌گذاری داشته‌اند: </w:t>
      </w:r>
      <w:r w:rsidR="00022CF9">
        <w:rPr>
          <w:rFonts w:ascii="Times New Roman" w:hAnsi="Times New Roman" w:cs="B Nazanin" w:hint="cs"/>
          <w:sz w:val="20"/>
          <w:rtl/>
          <w:lang w:val="en-GB" w:bidi="ar-SA"/>
        </w:rPr>
        <w:t>الف)</w:t>
      </w:r>
      <w:r w:rsidR="00572DF8">
        <w:rPr>
          <w:rFonts w:ascii="Times New Roman" w:hAnsi="Times New Roman" w:cs="B Nazanin" w:hint="cs"/>
          <w:sz w:val="20"/>
          <w:rtl/>
          <w:lang w:val="en-GB" w:bidi="ar-SA"/>
        </w:rPr>
        <w:t xml:space="preserve"> </w:t>
      </w:r>
      <w:r w:rsidRPr="00DF39AA">
        <w:rPr>
          <w:rFonts w:ascii="Times New Roman" w:hAnsi="Times New Roman" w:cs="B Nazanin"/>
          <w:sz w:val="20"/>
          <w:rtl/>
          <w:lang w:val="en-GB" w:bidi="ar-SA"/>
        </w:rPr>
        <w:t xml:space="preserve">تحول در مفهوم «سرمایه‌گذاری» و معیارهای احراز صلاحیت، </w:t>
      </w:r>
      <w:r w:rsidR="00572DF8">
        <w:rPr>
          <w:rFonts w:ascii="Times New Roman" w:hAnsi="Times New Roman" w:cs="B Nazanin" w:hint="cs"/>
          <w:sz w:val="20"/>
          <w:rtl/>
          <w:lang w:val="en-GB" w:bidi="ar-SA"/>
        </w:rPr>
        <w:t>ب</w:t>
      </w:r>
      <w:r w:rsidRPr="00DF39AA">
        <w:rPr>
          <w:rFonts w:ascii="Times New Roman" w:hAnsi="Times New Roman" w:cs="B Nazanin"/>
          <w:sz w:val="20"/>
          <w:rtl/>
          <w:lang w:val="en-GB"/>
        </w:rPr>
        <w:t xml:space="preserve">) </w:t>
      </w:r>
      <w:r w:rsidRPr="00DF39AA">
        <w:rPr>
          <w:rFonts w:ascii="Times New Roman" w:hAnsi="Times New Roman" w:cs="B Nazanin"/>
          <w:sz w:val="20"/>
          <w:rtl/>
          <w:lang w:val="en-GB" w:bidi="ar-SA"/>
        </w:rPr>
        <w:t>تحول در کارکرد استاندارد رفتار منصفانه و عادلانه</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 xml:space="preserve">و به‌ویژه مفهوم انتظارات مشروع، و </w:t>
      </w:r>
      <w:r w:rsidR="00572DF8">
        <w:rPr>
          <w:rFonts w:ascii="Times New Roman" w:hAnsi="Times New Roman" w:cs="B Nazanin" w:hint="cs"/>
          <w:sz w:val="20"/>
          <w:rtl/>
          <w:lang w:val="en-GB" w:bidi="ar-SA"/>
        </w:rPr>
        <w:t xml:space="preserve">ج) </w:t>
      </w:r>
      <w:r w:rsidRPr="00DF39AA">
        <w:rPr>
          <w:rFonts w:ascii="Times New Roman" w:hAnsi="Times New Roman" w:cs="B Nazanin"/>
          <w:sz w:val="20"/>
          <w:rtl/>
          <w:lang w:val="en-GB" w:bidi="ar-SA"/>
        </w:rPr>
        <w:t>ارتقای هنجاری «حق تنظیم‌گری دولت» از سطح یک دفاع ضمنی به سطح یک قید تفسیرگر در برابر ادعاهای حمایتی</w:t>
      </w:r>
      <w:r w:rsidRPr="00DF39AA">
        <w:rPr>
          <w:rFonts w:ascii="Times New Roman" w:hAnsi="Times New Roman" w:cs="B Nazanin"/>
          <w:sz w:val="20"/>
          <w:lang w:val="en-GB"/>
        </w:rPr>
        <w:t>.</w:t>
      </w:r>
    </w:p>
    <w:p w14:paraId="50002776" w14:textId="54046A79"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۱</w:t>
      </w:r>
      <w:r w:rsidRPr="00DF39AA">
        <w:rPr>
          <w:rFonts w:ascii="Times New Roman" w:hAnsi="Times New Roman" w:cs="B Nazanin"/>
          <w:sz w:val="20"/>
          <w:lang w:val="en-GB"/>
        </w:rPr>
        <w:t>–</w:t>
      </w:r>
      <w:r w:rsidRPr="00DF39AA">
        <w:rPr>
          <w:rFonts w:ascii="Times New Roman" w:hAnsi="Times New Roman" w:cs="B Nazanin"/>
          <w:sz w:val="20"/>
          <w:rtl/>
          <w:lang w:val="en-GB"/>
        </w:rPr>
        <w:t>۱</w:t>
      </w:r>
      <w:r w:rsidR="00DD02C8">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 xml:space="preserve">تحول در مفهوم «سرمایه‌گذاری»: </w:t>
      </w:r>
    </w:p>
    <w:p w14:paraId="30F6C278" w14:textId="6DFA8A03"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کنوانسیون واشنگتن </w:t>
      </w:r>
      <w:r w:rsidRPr="00DF39AA">
        <w:rPr>
          <w:rFonts w:ascii="Times New Roman" w:hAnsi="Times New Roman" w:cs="B Nazanin"/>
          <w:sz w:val="20"/>
          <w:rtl/>
          <w:lang w:val="en-GB"/>
        </w:rPr>
        <w:t>۱۹۶۵</w:t>
      </w:r>
      <w:r w:rsidRPr="00DF39AA">
        <w:rPr>
          <w:rFonts w:ascii="Times New Roman" w:hAnsi="Times New Roman" w:cs="B Nazanin"/>
          <w:sz w:val="20"/>
          <w:rtl/>
          <w:lang w:val="en-GB" w:bidi="ar-SA"/>
        </w:rPr>
        <w:t xml:space="preserve"> تعریفی از «سرمایه‌گذاری» ارائه نکرده است و همین سکوت، به داوران اجازه داد تا مفهوم سرمایه‌گذاری را در قالب رویه قضایی توسعه دهند</w:t>
      </w:r>
      <w:r w:rsidR="000616EF">
        <w:rPr>
          <w:rFonts w:ascii="Times New Roman" w:hAnsi="Times New Roman" w:cs="B Nazanin" w:hint="cs"/>
          <w:sz w:val="20"/>
          <w:rtl/>
          <w:lang w:val="en-GB" w:bidi="ar-SA"/>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یکی از نقاط آغازین این روند، تصمیم صلاحیتی پرونده سالینی بود که در آن، عناصر چهارگانه تعهد مالی، ریسک، مدت‌زمان و نسبت با توسعه اقتصادی به‌عنوان شاخص‌های احراز سرمایه‌گذاری معرفی شد</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(Salini v. Morocco, 2001) </w:t>
      </w:r>
      <w:r w:rsidRPr="00DF39AA">
        <w:rPr>
          <w:rFonts w:ascii="Times New Roman" w:hAnsi="Times New Roman" w:cs="B Nazanin"/>
          <w:sz w:val="20"/>
          <w:rtl/>
          <w:lang w:val="en-GB" w:bidi="ar-SA"/>
        </w:rPr>
        <w:t>این رویکرد در دوره‌ای، به‌عنوان یک معیار نسبتاً قابل پیش‌بینی عمل کرد؛ زیرا مرز صلاحیت ایکسید را از دعاوی صرفاً تجاری یا مبادلات کوتاه‌مدت تفکیک می‌کرد</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w:t>
      </w:r>
    </w:p>
    <w:p w14:paraId="058F3EF4" w14:textId="1E63A1E8"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با این حال، انباشت دعاوی پیچیده نشان داد که معیارهای شکلیِ مبتنی بر عناصر چهارگانه، در بسیاری موارد نمی‌تواند «واقعیت اقتصادی» رابطه سرمایه‌گذاری را بازنمایی کند. به همین دلیل، داوری ایکسید به‌تدریج از «سالینی صلب» به سمت «سالینی کارکردی» حرکت کرد؛ یعنی به جای شمارش عناصر، به ارزیابی ماهیت واقعی تعامل اقتصادی و هدف سرمایه‌گذاری توجه نشان داد</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Salacuse</w:t>
      </w:r>
      <w:proofErr w:type="spellEnd"/>
      <w:r w:rsidRPr="00DF39AA">
        <w:rPr>
          <w:rFonts w:ascii="Times New Roman" w:hAnsi="Times New Roman" w:cs="B Nazanin"/>
          <w:sz w:val="20"/>
          <w:lang w:val="en-GB"/>
        </w:rPr>
        <w:t xml:space="preserve">, 2022) </w:t>
      </w:r>
      <w:r w:rsidRPr="00DF39AA">
        <w:rPr>
          <w:rFonts w:ascii="Times New Roman" w:hAnsi="Times New Roman" w:cs="B Nazanin"/>
          <w:sz w:val="20"/>
          <w:rtl/>
          <w:lang w:val="en-GB" w:bidi="ar-SA"/>
        </w:rPr>
        <w:t>این تحول زمانی اهمیت دوچندان پیدا کرد که رویه داوری، عنصر «سلامت حقوقی و اخلاقی سرمایه‌گذاری» را وارد تحلیل صلاحیتی نمود و سرمایه‌گذاری‌های صوری یا مبتنی بر سوءنیت را از حمایت خارج دانست</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(Phoenix Action v. Czech Republic, 2009)</w:t>
      </w:r>
    </w:p>
    <w:p w14:paraId="636EC372" w14:textId="176CE0EB"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نتیجه این تحول آن است که مفهوم سرمایه‌گذاری دیگر صرفاً یک مفهوم اقتصادی خنثی نیست، بلکه یک مفهوم حقوقیِ واجد بار ارزشی است: سرمایه‌گذار تنها در صورتی از حمایت برخوردار می‌شود که سرمایه‌گذاری او علاوه بر داشتن عناصر اقتصادی، از حیث حقوقی نیز مشروع و اصیل باشد</w:t>
      </w:r>
      <w:r w:rsidR="00572DF8">
        <w:rPr>
          <w:rFonts w:ascii="Times New Roman" w:hAnsi="Times New Roman" w:cs="B Nazanin" w:hint="cs"/>
          <w:sz w:val="20"/>
          <w:rtl/>
          <w:lang w:val="en-GB" w:bidi="ar-SA"/>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این چرخش، به‌طور مستقیم ظرفیت دفاع دولت‌ها را تقویت می‌کند؛ زیرا دولت می‌تواند در مرحله صلاحیتی، نه فقط به فقدان عناصر سرمایه‌گذاری، بلکه به فقدان مشروعیت آن استناد کند</w:t>
      </w:r>
      <w:r w:rsidR="009B0DF4">
        <w:rPr>
          <w:rFonts w:ascii="Times New Roman" w:hAnsi="Times New Roman" w:cs="B Nazanin" w:hint="cs"/>
          <w:sz w:val="20"/>
          <w:rtl/>
          <w:lang w:val="en-GB" w:bidi="ar-SA"/>
        </w:rPr>
        <w:t xml:space="preserve">. </w:t>
      </w:r>
    </w:p>
    <w:p w14:paraId="3EF09429" w14:textId="48758F3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۱</w:t>
      </w:r>
      <w:r w:rsidRPr="00DF39AA">
        <w:rPr>
          <w:rFonts w:ascii="Times New Roman" w:hAnsi="Times New Roman" w:cs="B Nazanin"/>
          <w:sz w:val="20"/>
          <w:lang w:val="en-GB"/>
        </w:rPr>
        <w:t>–</w:t>
      </w:r>
      <w:r w:rsidRPr="00DF39AA">
        <w:rPr>
          <w:rFonts w:ascii="Times New Roman" w:hAnsi="Times New Roman" w:cs="B Nazanin"/>
          <w:sz w:val="20"/>
          <w:rtl/>
          <w:lang w:val="en-GB"/>
        </w:rPr>
        <w:t>۲</w:t>
      </w:r>
      <w:r w:rsidR="00DD02C8">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تحول در استاندارد رفتار منصفانه و عادلانه</w:t>
      </w:r>
      <w:r w:rsidRPr="00DF39AA">
        <w:rPr>
          <w:rFonts w:ascii="Times New Roman" w:hAnsi="Times New Roman" w:cs="B Nazanin"/>
          <w:sz w:val="20"/>
          <w:lang w:val="en-GB"/>
        </w:rPr>
        <w:t xml:space="preserve"> </w:t>
      </w:r>
      <w:r w:rsidR="00E00870">
        <w:rPr>
          <w:rFonts w:ascii="Times New Roman" w:hAnsi="Times New Roman" w:cs="B Nazanin" w:hint="cs"/>
          <w:sz w:val="20"/>
          <w:rtl/>
          <w:lang w:val="en-GB"/>
        </w:rPr>
        <w:t xml:space="preserve">: </w:t>
      </w:r>
    </w:p>
    <w:p w14:paraId="2E70BC24" w14:textId="337B1FEE"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استاندارد رفتار منصفانه و عادلانه، بیش از هر معیار دیگر، کانون اصلی اختلاف میان دولت‌ها و سرمایه‌گذاران در داوری سرمایه‌گذاری بوده است؛ زیرا این استاندارد به دلیل ماهیت باز و تفسیربردار خود، امکان گسترش مفهومی وسیعی داشته است</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Dolzer</w:t>
      </w:r>
      <w:proofErr w:type="spellEnd"/>
      <w:r w:rsidRPr="00DF39AA">
        <w:rPr>
          <w:rFonts w:ascii="Times New Roman" w:hAnsi="Times New Roman" w:cs="B Nazanin"/>
          <w:sz w:val="20"/>
          <w:lang w:val="en-GB"/>
        </w:rPr>
        <w:t xml:space="preserve"> &amp; </w:t>
      </w:r>
      <w:proofErr w:type="spellStart"/>
      <w:r w:rsidRPr="00DF39AA">
        <w:rPr>
          <w:rFonts w:ascii="Times New Roman" w:hAnsi="Times New Roman" w:cs="B Nazanin"/>
          <w:sz w:val="20"/>
          <w:lang w:val="en-GB"/>
        </w:rPr>
        <w:t>Schreuer</w:t>
      </w:r>
      <w:proofErr w:type="spellEnd"/>
      <w:r w:rsidRPr="00DF39AA">
        <w:rPr>
          <w:rFonts w:ascii="Times New Roman" w:hAnsi="Times New Roman" w:cs="B Nazanin"/>
          <w:sz w:val="20"/>
          <w:lang w:val="en-GB"/>
        </w:rPr>
        <w:t>, 2022</w:t>
      </w:r>
      <w:proofErr w:type="gramStart"/>
      <w:r w:rsidRPr="00DF39AA">
        <w:rPr>
          <w:rFonts w:ascii="Times New Roman" w:hAnsi="Times New Roman" w:cs="B Nazanin"/>
          <w:sz w:val="20"/>
          <w:lang w:val="en-GB"/>
        </w:rPr>
        <w:t xml:space="preserve">) </w:t>
      </w:r>
      <w:r w:rsidR="00DD02C8">
        <w:rPr>
          <w:rFonts w:ascii="Times New Roman" w:hAnsi="Times New Roman" w:cs="B Nazanin" w:hint="cs"/>
          <w:sz w:val="20"/>
          <w:rtl/>
          <w:lang w:val="en-GB"/>
        </w:rPr>
        <w:t xml:space="preserve"> </w:t>
      </w:r>
      <w:r w:rsidRPr="00DF39AA">
        <w:rPr>
          <w:rFonts w:ascii="Times New Roman" w:hAnsi="Times New Roman" w:cs="B Nazanin"/>
          <w:sz w:val="20"/>
          <w:rtl/>
          <w:lang w:val="en-GB" w:bidi="ar-SA"/>
        </w:rPr>
        <w:t>در</w:t>
      </w:r>
      <w:proofErr w:type="gramEnd"/>
      <w:r w:rsidRPr="00DF39AA">
        <w:rPr>
          <w:rFonts w:ascii="Times New Roman" w:hAnsi="Times New Roman" w:cs="B Nazanin"/>
          <w:sz w:val="20"/>
          <w:rtl/>
          <w:lang w:val="en-GB" w:bidi="ar-SA"/>
        </w:rPr>
        <w:t xml:space="preserve"> دوره‌ای از تحول داوری، برداشت موسّع از</w:t>
      </w:r>
      <w:r w:rsidRPr="00DF39AA">
        <w:rPr>
          <w:rFonts w:ascii="Times New Roman" w:hAnsi="Times New Roman" w:cs="B Nazanin"/>
          <w:sz w:val="20"/>
          <w:lang w:val="en-GB"/>
        </w:rPr>
        <w:t xml:space="preserve"> </w:t>
      </w:r>
      <w:r w:rsidR="00E00870" w:rsidRPr="00DF39AA">
        <w:rPr>
          <w:rFonts w:ascii="Times New Roman" w:hAnsi="Times New Roman" w:cs="B Nazanin"/>
          <w:sz w:val="20"/>
          <w:rtl/>
          <w:lang w:val="en-GB" w:bidi="ar-SA"/>
        </w:rPr>
        <w:t>رفتار منصفانه و عادلانه</w:t>
      </w:r>
      <w:r w:rsidR="00E00870"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به‌گونه‌ای بود که تغییر در سیاست‌گذاری عمومی دولت می‌توانست به‌عنوان نقض انتظارات مشروع سرمایه‌گذار تفسیر شود؛ به‌ویژه هنگامی که سرمایه‌گذار ثبات مقررات را جزء مفروضات تصمیم اقتصادی خود قلمداد می‌کرد</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(Van Harten, 2007)</w:t>
      </w:r>
    </w:p>
    <w:p w14:paraId="35EE835A" w14:textId="3F8D9465"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lastRenderedPageBreak/>
        <w:t>اما این رویکرد با یک مسئله بنیادی مواجه شد: اگر انتظارات مشروع به شکل گسترده حمایت شود، داوری سرمایه‌گذاری عملاً به ابزاری برای «قفل‌کردن سیاست عمومی» تبدیل می‌شود و حق تنظیم‌گری دولت‌ها را محدود می‌سازد؛ نتیجه‌ای که با منطق حاکمیت و ضرورت پویایی سیاست‌گذاری ناسازگار است</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Sornarajah</w:t>
      </w:r>
      <w:proofErr w:type="spellEnd"/>
      <w:r w:rsidRPr="00DF39AA">
        <w:rPr>
          <w:rFonts w:ascii="Times New Roman" w:hAnsi="Times New Roman" w:cs="B Nazanin"/>
          <w:sz w:val="20"/>
          <w:lang w:val="en-GB"/>
        </w:rPr>
        <w:t xml:space="preserve">, 2021) </w:t>
      </w:r>
      <w:r w:rsidRPr="00DF39AA">
        <w:rPr>
          <w:rFonts w:ascii="Times New Roman" w:hAnsi="Times New Roman" w:cs="B Nazanin"/>
          <w:sz w:val="20"/>
          <w:rtl/>
          <w:lang w:val="en-GB" w:bidi="ar-SA"/>
        </w:rPr>
        <w:t>در واکنش به همین تنش، رویه‌های متأخر داوری به سمت محدودسازی انتظارات مشروع حرکت کردند و معیار حمایت از آن را به وجود تعهد مشخص و قابل اتکا از سوی دولت وابسته ساختند، نه صرف پیش‌بینی اقتصادی سرمایه‌گذار</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w:t>
      </w:r>
    </w:p>
    <w:p w14:paraId="1A31D81C" w14:textId="4CDA943B"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نقطه عطف این تحول را می‌توان در رأی</w:t>
      </w:r>
      <w:r w:rsidRPr="00DF39AA">
        <w:rPr>
          <w:rFonts w:ascii="Times New Roman" w:hAnsi="Times New Roman" w:cs="B Nazanin"/>
          <w:sz w:val="20"/>
          <w:lang w:val="en-GB"/>
        </w:rPr>
        <w:t xml:space="preserve"> </w:t>
      </w:r>
      <w:r w:rsidR="00DD02C8" w:rsidRPr="00DD02C8">
        <w:rPr>
          <w:rFonts w:ascii="Times New Roman" w:hAnsi="Times New Roman" w:cs="B Nazanin" w:hint="cs"/>
          <w:sz w:val="20"/>
          <w:rtl/>
          <w:lang w:val="en-GB"/>
        </w:rPr>
        <w:t>فیلیپ</w:t>
      </w:r>
      <w:r w:rsidR="00DD02C8" w:rsidRPr="00DD02C8">
        <w:rPr>
          <w:rFonts w:ascii="Times New Roman" w:hAnsi="Times New Roman" w:cs="B Nazanin"/>
          <w:sz w:val="20"/>
          <w:rtl/>
          <w:lang w:val="en-GB"/>
        </w:rPr>
        <w:t xml:space="preserve"> </w:t>
      </w:r>
      <w:r w:rsidR="00DD02C8" w:rsidRPr="00DD02C8">
        <w:rPr>
          <w:rFonts w:ascii="Times New Roman" w:hAnsi="Times New Roman" w:cs="B Nazanin" w:hint="cs"/>
          <w:sz w:val="20"/>
          <w:rtl/>
          <w:lang w:val="en-GB"/>
        </w:rPr>
        <w:t>موریس</w:t>
      </w:r>
      <w:r w:rsidR="00DD02C8" w:rsidRPr="00DD02C8">
        <w:rPr>
          <w:rFonts w:ascii="Times New Roman" w:hAnsi="Times New Roman" w:cs="B Nazanin"/>
          <w:sz w:val="20"/>
          <w:rtl/>
          <w:lang w:val="en-GB"/>
        </w:rPr>
        <w:t xml:space="preserve"> </w:t>
      </w:r>
      <w:r w:rsidR="00DD02C8" w:rsidRPr="00DD02C8">
        <w:rPr>
          <w:rFonts w:ascii="Times New Roman" w:hAnsi="Times New Roman" w:cs="B Nazanin" w:hint="cs"/>
          <w:sz w:val="20"/>
          <w:rtl/>
          <w:lang w:val="en-GB"/>
        </w:rPr>
        <w:t>علیه</w:t>
      </w:r>
      <w:r w:rsidR="00DD02C8" w:rsidRPr="00DD02C8">
        <w:rPr>
          <w:rFonts w:ascii="Times New Roman" w:hAnsi="Times New Roman" w:cs="B Nazanin"/>
          <w:sz w:val="20"/>
          <w:rtl/>
          <w:lang w:val="en-GB"/>
        </w:rPr>
        <w:t xml:space="preserve"> </w:t>
      </w:r>
      <w:r w:rsidR="00DD02C8" w:rsidRPr="00DD02C8">
        <w:rPr>
          <w:rFonts w:ascii="Times New Roman" w:hAnsi="Times New Roman" w:cs="B Nazanin" w:hint="cs"/>
          <w:sz w:val="20"/>
          <w:rtl/>
          <w:lang w:val="en-GB"/>
        </w:rPr>
        <w:t>اروگوئه</w:t>
      </w:r>
      <w:r w:rsidR="00DD02C8">
        <w:rPr>
          <w:rFonts w:ascii="Times New Roman" w:hAnsi="Times New Roman" w:cs="B Nazanin" w:hint="cs"/>
          <w:sz w:val="20"/>
          <w:rtl/>
          <w:lang w:val="en-GB"/>
        </w:rPr>
        <w:t xml:space="preserve"> </w:t>
      </w:r>
      <w:r w:rsidRPr="00DF39AA">
        <w:rPr>
          <w:rFonts w:ascii="Times New Roman" w:hAnsi="Times New Roman" w:cs="B Nazanin"/>
          <w:sz w:val="20"/>
          <w:rtl/>
          <w:lang w:val="en-GB" w:bidi="ar-SA"/>
        </w:rPr>
        <w:t>مشاهده کرد؛ جایی که هیئت داوری تصریح نمود سیاست‌های عمومی در حوزه سلامت عمومی ذاتاً متغیرند و نمی‌توان انتظار داشت دولت‌ها به دلیل وجود منافع اقتصادی سرمایه‌گذار از اعمال مقررات جدید خودداری کنند</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(Philip Morris v. Uruguay, 2016, paras. 295–302) </w:t>
      </w:r>
      <w:r w:rsidRPr="00DF39AA">
        <w:rPr>
          <w:rFonts w:ascii="Times New Roman" w:hAnsi="Times New Roman" w:cs="B Nazanin"/>
          <w:sz w:val="20"/>
          <w:rtl/>
          <w:lang w:val="en-GB" w:bidi="ar-SA"/>
        </w:rPr>
        <w:t>در همین چارچوب، هیئت داوری تأکید کرد که حمایت از انتظارات مشروع تنها زمانی موجه است که سرمایه‌گذار بتواند به تعهد روشن، مشخص و قابل انتساب دولت استناد کند، نه به برداشت کلی از محیط مقرراتی</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(Philip Morris v. Uruguay, 2016, paras. 398–401)</w:t>
      </w:r>
    </w:p>
    <w:p w14:paraId="053C576F" w14:textId="049E95C8"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بنابراین، تحول محتوایی در</w:t>
      </w:r>
      <w:r w:rsidRPr="00DF39AA">
        <w:rPr>
          <w:rFonts w:ascii="Times New Roman" w:hAnsi="Times New Roman" w:cs="B Nazanin"/>
          <w:sz w:val="20"/>
          <w:lang w:val="en-GB"/>
        </w:rPr>
        <w:t xml:space="preserve"> </w:t>
      </w:r>
      <w:r w:rsidR="00E00870" w:rsidRPr="00DF39AA">
        <w:rPr>
          <w:rFonts w:ascii="Times New Roman" w:hAnsi="Times New Roman" w:cs="B Nazanin"/>
          <w:sz w:val="20"/>
          <w:rtl/>
          <w:lang w:val="en-GB" w:bidi="ar-SA"/>
        </w:rPr>
        <w:t>رفتار منصفانه و عادلانه</w:t>
      </w:r>
      <w:r w:rsidR="00E00870"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به معنای گذار از یک استاندارد حمایت‌محور و موسّع به یک معیار عینی‌تر و کنترل‌پذیرتر است؛ معیاری که بیشتر بر منع خودسری، رعایت انصاف رویه‌ای و رفتار غیرتبعیض‌آمیز تمرکز دارد و کمتر به تضمین نتایج اقتصادی برای سرمایه‌گذار گرایش نشان می‌دهد</w:t>
      </w:r>
      <w:r w:rsidR="00955001">
        <w:rPr>
          <w:rFonts w:ascii="Times New Roman" w:hAnsi="Times New Roman" w:cs="B Nazanin" w:hint="cs"/>
          <w:sz w:val="20"/>
          <w:rtl/>
          <w:lang w:val="en-GB" w:bidi="ar-SA"/>
        </w:rPr>
        <w:t>.</w:t>
      </w:r>
    </w:p>
    <w:p w14:paraId="5F634D48" w14:textId="61041EAC"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۱</w:t>
      </w:r>
      <w:r w:rsidRPr="00DF39AA">
        <w:rPr>
          <w:rFonts w:ascii="Times New Roman" w:hAnsi="Times New Roman" w:cs="B Nazanin"/>
          <w:sz w:val="20"/>
          <w:lang w:val="en-GB"/>
        </w:rPr>
        <w:t>–</w:t>
      </w:r>
      <w:r w:rsidRPr="00DF39AA">
        <w:rPr>
          <w:rFonts w:ascii="Times New Roman" w:hAnsi="Times New Roman" w:cs="B Nazanin"/>
          <w:sz w:val="20"/>
          <w:rtl/>
          <w:lang w:val="en-GB"/>
        </w:rPr>
        <w:t>۳</w:t>
      </w:r>
      <w:r w:rsidR="009B0DF4">
        <w:rPr>
          <w:rFonts w:ascii="Times New Roman" w:hAnsi="Times New Roman" w:cs="B Nazanin" w:hint="cs"/>
          <w:sz w:val="20"/>
          <w:rtl/>
          <w:lang w:val="en-GB"/>
        </w:rPr>
        <w:t xml:space="preserve">- </w:t>
      </w:r>
      <w:r w:rsidRPr="00DF39AA">
        <w:rPr>
          <w:rFonts w:ascii="Times New Roman" w:hAnsi="Times New Roman" w:cs="B Nazanin"/>
          <w:sz w:val="20"/>
          <w:rtl/>
          <w:lang w:val="en-GB" w:bidi="ar-SA"/>
        </w:rPr>
        <w:t xml:space="preserve">تحول در حق تنظیم‌گری دولت: </w:t>
      </w:r>
    </w:p>
    <w:p w14:paraId="7F98BF29" w14:textId="49FCD80C"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تحول سوم، ارتقای جایگاه حق تنظیم‌گری دولت در داوری سرمایه‌گذاری است. در دهه‌های نخست، حق تنظیم‌گری بیشتر به‌عنوان یک فرض ضمنی پذیرفته می‌شد، اما در عمل غالباً در برابر خوانش‌های موسّع از استانداردهای حمایتی، وزن هنجاری کافی نداشت</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(Van Harten, 2007) </w:t>
      </w:r>
      <w:r w:rsidR="00DD02C8" w:rsidRPr="00DD02C8">
        <w:rPr>
          <w:rFonts w:ascii="Times New Roman" w:hAnsi="Times New Roman" w:cs="B Nazanin" w:hint="cs"/>
          <w:sz w:val="20"/>
          <w:rtl/>
          <w:lang w:val="en-GB" w:bidi="ar-SA"/>
        </w:rPr>
        <w:t>این</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وضعیت</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موجب</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می‌شد</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اقدامات</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دولت</w:t>
      </w:r>
      <w:r w:rsidR="00DD02C8">
        <w:rPr>
          <w:rFonts w:ascii="Times New Roman" w:hAnsi="Times New Roman" w:cs="B Nazanin" w:hint="cs"/>
          <w:sz w:val="20"/>
          <w:rtl/>
          <w:lang w:val="en-GB" w:bidi="ar-SA"/>
        </w:rPr>
        <w:t xml:space="preserve"> حتی</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اگر</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با</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هدف</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تأمین</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منافع</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عمومی</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اتخاذ</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شده</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باشد</w:t>
      </w:r>
      <w:r w:rsidR="00DD02C8" w:rsidRPr="00DD02C8">
        <w:rPr>
          <w:rFonts w:ascii="Times New Roman" w:hAnsi="Times New Roman" w:cs="B Nazanin" w:hint="cs"/>
          <w:sz w:val="20"/>
          <w:rtl/>
          <w:lang w:val="en-GB" w:bidi="ar-SA"/>
        </w:rPr>
        <w:t xml:space="preserve">، </w:t>
      </w:r>
      <w:r w:rsidR="00DD02C8" w:rsidRPr="00DD02C8">
        <w:rPr>
          <w:rFonts w:ascii="Times New Roman" w:hAnsi="Times New Roman" w:cs="B Nazanin" w:hint="cs"/>
          <w:sz w:val="20"/>
          <w:rtl/>
          <w:lang w:val="en-GB" w:bidi="ar-SA"/>
        </w:rPr>
        <w:t>در</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معرض</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تفسیر</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به‌عنوان</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نقض</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تعهدات</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معاهده‌ای</w:t>
      </w:r>
      <w:r w:rsidR="00DD02C8" w:rsidRPr="00DD02C8">
        <w:rPr>
          <w:rFonts w:ascii="Times New Roman" w:hAnsi="Times New Roman" w:cs="B Nazanin"/>
          <w:sz w:val="20"/>
          <w:rtl/>
          <w:lang w:val="en-GB" w:bidi="ar-SA"/>
        </w:rPr>
        <w:t xml:space="preserve"> </w:t>
      </w:r>
      <w:r w:rsidR="00DD02C8" w:rsidRPr="00DD02C8">
        <w:rPr>
          <w:rFonts w:ascii="Times New Roman" w:hAnsi="Times New Roman" w:cs="B Nazanin" w:hint="cs"/>
          <w:sz w:val="20"/>
          <w:rtl/>
          <w:lang w:val="en-GB" w:bidi="ar-SA"/>
        </w:rPr>
        <w:t>قرار</w:t>
      </w:r>
      <w:r w:rsidR="00DD02C8" w:rsidRPr="00DD02C8">
        <w:rPr>
          <w:rFonts w:ascii="Times New Roman" w:hAnsi="Times New Roman" w:cs="B Nazanin"/>
          <w:sz w:val="20"/>
          <w:rtl/>
          <w:lang w:val="en-GB" w:bidi="ar-SA"/>
        </w:rPr>
        <w:t xml:space="preserve"> </w:t>
      </w:r>
      <w:proofErr w:type="gramStart"/>
      <w:r w:rsidR="00DD02C8" w:rsidRPr="00DD02C8">
        <w:rPr>
          <w:rFonts w:ascii="Times New Roman" w:hAnsi="Times New Roman" w:cs="B Nazanin" w:hint="cs"/>
          <w:sz w:val="20"/>
          <w:rtl/>
          <w:lang w:val="en-GB" w:bidi="ar-SA"/>
        </w:rPr>
        <w:t>گیرد</w:t>
      </w:r>
      <w:r w:rsidR="00DD02C8" w:rsidRPr="00DD02C8">
        <w:rPr>
          <w:rFonts w:ascii="Times New Roman" w:hAnsi="Times New Roman" w:cs="B Nazanin"/>
          <w:sz w:val="20"/>
          <w:rtl/>
          <w:lang w:val="en-GB" w:bidi="ar-SA"/>
        </w:rPr>
        <w:t>.</w:t>
      </w:r>
      <w:r w:rsidRPr="00DF39AA">
        <w:rPr>
          <w:rFonts w:ascii="Times New Roman" w:hAnsi="Times New Roman" w:cs="B Nazanin"/>
          <w:sz w:val="20"/>
          <w:lang w:val="en-GB"/>
        </w:rPr>
        <w:t>.</w:t>
      </w:r>
      <w:proofErr w:type="gramEnd"/>
    </w:p>
    <w:p w14:paraId="21EA7957" w14:textId="111A6940" w:rsidR="00DF39AA" w:rsidRPr="00DF39AA" w:rsidRDefault="00DF39AA" w:rsidP="00DD02C8">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اما رویه‌های متأخر، به تدریج حق تنظیم‌گری را به عنوان یک عنصر ذاتی از حاکمیت دولت و بخشی از منطق تفسیر تعهدات حمایتی به رسمیت شناختند. در رأی</w:t>
      </w:r>
      <w:r w:rsidRPr="00DF39AA">
        <w:rPr>
          <w:rFonts w:ascii="Times New Roman" w:hAnsi="Times New Roman" w:cs="B Nazanin"/>
          <w:sz w:val="20"/>
          <w:lang w:val="en-GB"/>
        </w:rPr>
        <w:t xml:space="preserve"> </w:t>
      </w:r>
      <w:r w:rsidR="00DD02C8" w:rsidRPr="00DD02C8">
        <w:rPr>
          <w:rFonts w:ascii="Times New Roman" w:hAnsi="Times New Roman" w:cs="B Nazanin"/>
          <w:sz w:val="20"/>
          <w:rtl/>
          <w:lang w:val="en-GB"/>
        </w:rPr>
        <w:t>فیلیپ موریس</w:t>
      </w:r>
      <w:r w:rsidRPr="00DF39AA">
        <w:rPr>
          <w:rFonts w:ascii="Times New Roman" w:hAnsi="Times New Roman" w:cs="B Nazanin"/>
          <w:sz w:val="20"/>
          <w:rtl/>
          <w:lang w:val="en-GB" w:bidi="ar-SA"/>
        </w:rPr>
        <w:t>، هیئت داوری اقدامات دولت اروگوئه را در حوزه سلامت عمومی در چارچوب اختیارات پلیسی معتبر دانست و تصریح کرد که حتی زیان اقتصادی قابل توجه نیز مانع اعمال مقررات عمومی نیست، مشروط به آنکه اقدام دولت غیرتبعیض‌آمیز، متناسب و در راستای هدف مشروع باشد</w:t>
      </w:r>
      <w:r w:rsidRPr="00DF39AA">
        <w:rPr>
          <w:rFonts w:ascii="Times New Roman" w:hAnsi="Times New Roman" w:cs="B Nazanin"/>
          <w:sz w:val="20"/>
          <w:lang w:val="en-GB"/>
        </w:rPr>
        <w:t xml:space="preserve"> (Philip Morris v. Uruguay, 2016, paras. 295–302).</w:t>
      </w:r>
    </w:p>
    <w:p w14:paraId="3B3DB262" w14:textId="3831639C" w:rsidR="00DF39AA" w:rsidRPr="00DF39AA" w:rsidRDefault="00DF39AA" w:rsidP="00DD02C8">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همچنین، رأی</w:t>
      </w:r>
      <w:r w:rsidRPr="00DF39AA">
        <w:rPr>
          <w:rFonts w:ascii="Times New Roman" w:hAnsi="Times New Roman" w:cs="B Nazanin"/>
          <w:sz w:val="20"/>
          <w:lang w:val="en-GB"/>
        </w:rPr>
        <w:t xml:space="preserve"> </w:t>
      </w:r>
      <w:r w:rsidR="00DD02C8" w:rsidRPr="00DD02C8">
        <w:rPr>
          <w:rFonts w:ascii="Times New Roman" w:hAnsi="Times New Roman" w:cs="B Nazanin"/>
          <w:sz w:val="20"/>
          <w:rtl/>
          <w:lang w:val="en-GB"/>
        </w:rPr>
        <w:t>اورباسر علیه آرژانتین</w:t>
      </w:r>
      <w:r w:rsidR="00DD02C8" w:rsidRPr="00DD02C8">
        <w:rPr>
          <w:rFonts w:ascii="Times New Roman" w:hAnsi="Times New Roman" w:cs="B Nazanin"/>
          <w:sz w:val="20"/>
          <w:rtl/>
          <w:lang w:val="en-GB" w:bidi="ar-SA"/>
        </w:rPr>
        <w:t xml:space="preserve"> </w:t>
      </w:r>
      <w:r w:rsidRPr="00DF39AA">
        <w:rPr>
          <w:rFonts w:ascii="Times New Roman" w:hAnsi="Times New Roman" w:cs="B Nazanin"/>
          <w:sz w:val="20"/>
          <w:rtl/>
          <w:lang w:val="en-GB" w:bidi="ar-SA"/>
        </w:rPr>
        <w:t>با پذیرش امکان طرح دعوای متقابل دولت، مسیر جدیدی را در تعامل میان حقوق سرمایه‌گذاری و سایر حوزه‌های حقوق بین‌الملل گشود و نشان داد که داوری سرمایه‌گذاری می‌تواند در موارد لازم، مفاهیم فرابخشی مانند حقوق بشر را نیز در تحلیل مسئولیت وارد کند</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(Urbaser v. Argentina, 2016) </w:t>
      </w:r>
      <w:r w:rsidRPr="00DF39AA">
        <w:rPr>
          <w:rFonts w:ascii="Times New Roman" w:hAnsi="Times New Roman" w:cs="B Nazanin"/>
          <w:sz w:val="20"/>
          <w:rtl/>
          <w:lang w:val="en-GB" w:bidi="ar-SA"/>
        </w:rPr>
        <w:t>این تحول، از منظر محتوایی به معنای آن است که داوری سرمایه‌گذاری ناگزیر به سمت مدل «تعادل‌محور» حرکت کرده و نمی‌تواند صرفاً در قالب حمایت اقتصادی از سرمایه‌گذار باقی بماند</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Sornarajah</w:t>
      </w:r>
      <w:proofErr w:type="spellEnd"/>
      <w:r w:rsidRPr="00DF39AA">
        <w:rPr>
          <w:rFonts w:ascii="Times New Roman" w:hAnsi="Times New Roman" w:cs="B Nazanin"/>
          <w:sz w:val="20"/>
          <w:lang w:val="en-GB"/>
        </w:rPr>
        <w:t>, 2021)</w:t>
      </w:r>
    </w:p>
    <w:p w14:paraId="02025ED3" w14:textId="52E4D3CD"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سه تحول یادشده نشان می‌دهد که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در خلأ شکل نگرفته‌اند، بلکه در امتداد روندی پدید آمده‌اند که طی آن داوری سرمایه‌گذاری از حمایت‌محوری به سمت تعادل‌محوری حرکت کرده است</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 xml:space="preserve">از این منظر،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زمانی اهمیت می‌یابند که به‌عنوان سازوکاری برای تثبیت و نهادینه‌سازی همین تحول مفهومی فهم شوند؛ یعنی اصلاحات رویه‌ای مانند شفافیت بیشتر، امکان مشارکت اشخاص ثالث و مدیریت زمان و هزینه، در نهایت کارکردی فراتر از اصلاحات شکلی دارند و با </w:t>
      </w:r>
      <w:r w:rsidRPr="00DF39AA">
        <w:rPr>
          <w:rFonts w:ascii="Times New Roman" w:hAnsi="Times New Roman" w:cs="B Nazanin"/>
          <w:sz w:val="20"/>
          <w:rtl/>
          <w:lang w:val="en-GB" w:bidi="ar-SA"/>
        </w:rPr>
        <w:lastRenderedPageBreak/>
        <w:t>مشروعیت‌سازی و پاسخ‌گویی عمومی داوری سرمایه‌گذاری پیوند می‌خورند</w:t>
      </w:r>
      <w:r w:rsidRPr="00DF39AA">
        <w:rPr>
          <w:rFonts w:ascii="Times New Roman" w:hAnsi="Times New Roman" w:cs="B Nazanin"/>
          <w:sz w:val="20"/>
          <w:lang w:val="en-GB"/>
        </w:rPr>
        <w:t xml:space="preserve"> (ICSID Arbitration Rules, 2022; ICSID Secretariat, 2022).</w:t>
      </w:r>
    </w:p>
    <w:p w14:paraId="2FFC8252" w14:textId="6637EB9E"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با این حال، این نهادینه‌سازی هنوز به معنای حل کامل بحران مشروعیت نیست؛ زیرا تا زمانی که ناهمگونی تفسیری در استانداردهای حمایتی و فقدان سازوکار استیناف ماهوی استمرار دارد، تحول مفهومی در سطح رویه‌ای تثبیت می‌شود اما در سطح ساختاری به انسجام کامل نمی‌رسد</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 xml:space="preserve">بنابراین،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را باید نقطه‌ای میانی در روند تحول داوری سرمایه‌گذاری دانست: گامی که ظرفیت تعادل میان حمایت از سرمایه‌گذار و اقتضائات تنظیم‌گری دولت را تقویت کرده، اما همچنان با چالش‌های مفهومی و نهادی روبه‌رو است</w:t>
      </w:r>
      <w:r w:rsidRPr="00DF39AA">
        <w:rPr>
          <w:rFonts w:ascii="Times New Roman" w:hAnsi="Times New Roman" w:cs="B Nazanin"/>
          <w:sz w:val="20"/>
          <w:lang w:val="en-GB"/>
        </w:rPr>
        <w:t>.</w:t>
      </w:r>
    </w:p>
    <w:p w14:paraId="40FF9EA7" w14:textId="77777777" w:rsidR="00DF39AA" w:rsidRDefault="00DF39AA" w:rsidP="0081613D">
      <w:pPr>
        <w:bidi/>
        <w:spacing w:after="0" w:line="276" w:lineRule="auto"/>
        <w:jc w:val="both"/>
        <w:rPr>
          <w:rFonts w:ascii="Times New Roman" w:hAnsi="Times New Roman" w:cs="B Nazanin"/>
          <w:b/>
          <w:bCs/>
          <w:sz w:val="20"/>
          <w:lang w:val="en-GB"/>
        </w:rPr>
      </w:pPr>
    </w:p>
    <w:p w14:paraId="05D37B6F" w14:textId="0361E391" w:rsidR="00DF39AA" w:rsidRPr="00DF39AA" w:rsidRDefault="00CB23A5" w:rsidP="0081613D">
      <w:pPr>
        <w:bidi/>
        <w:spacing w:after="0" w:line="276" w:lineRule="auto"/>
        <w:jc w:val="both"/>
        <w:rPr>
          <w:rFonts w:ascii="Times New Roman" w:hAnsi="Times New Roman" w:cs="B Nazanin"/>
          <w:b/>
          <w:bCs/>
          <w:sz w:val="20"/>
          <w:lang w:val="en-GB"/>
        </w:rPr>
      </w:pPr>
      <w:r>
        <w:rPr>
          <w:rFonts w:ascii="Times New Roman" w:hAnsi="Times New Roman" w:cs="B Nazanin" w:hint="cs"/>
          <w:b/>
          <w:bCs/>
          <w:sz w:val="20"/>
          <w:rtl/>
          <w:lang w:val="en-GB" w:bidi="ar-SA"/>
        </w:rPr>
        <w:t>2</w:t>
      </w:r>
      <w:r w:rsidR="00DF39AA" w:rsidRPr="00DF39AA">
        <w:rPr>
          <w:rFonts w:ascii="Times New Roman" w:hAnsi="Times New Roman" w:cs="B Nazanin" w:hint="cs"/>
          <w:b/>
          <w:bCs/>
          <w:sz w:val="20"/>
          <w:rtl/>
          <w:lang w:val="en-GB" w:bidi="ar-SA"/>
        </w:rPr>
        <w:t>-</w:t>
      </w:r>
      <w:r w:rsidR="00DF39AA" w:rsidRPr="00DF39AA">
        <w:rPr>
          <w:rFonts w:ascii="Times New Roman" w:hAnsi="Times New Roman" w:cs="B Nazanin"/>
          <w:b/>
          <w:bCs/>
          <w:sz w:val="20"/>
          <w:rtl/>
          <w:lang w:val="en-GB" w:bidi="ar-SA"/>
        </w:rPr>
        <w:t xml:space="preserve"> تحول مفهومی و محتوایی در صلاحیت ایکسید</w:t>
      </w:r>
      <w:r w:rsidR="00DF39AA" w:rsidRPr="00DF39AA">
        <w:rPr>
          <w:rFonts w:ascii="Times New Roman" w:hAnsi="Times New Roman" w:cs="B Nazanin"/>
          <w:b/>
          <w:bCs/>
          <w:sz w:val="20"/>
          <w:lang w:val="en-GB"/>
        </w:rPr>
        <w:t xml:space="preserve"> (ICSID)</w:t>
      </w:r>
    </w:p>
    <w:p w14:paraId="1D330EC5" w14:textId="39D4F63D"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صلاحیت در نظام ایکسید صرفاً یک مرحله مقدماتی برای ورود به ماهیت دعوا نیست، بلکه نقطه‌ای است که در آن «مرزهای داوری سرمایه‌گذاری» ترسیم می‌شود. به همین دلیل، تحول در صلاحیت، از جنس تحول آیینی صرف نیست؛ بلکه مستقیماً به تحول مفهومی و محتوایی در داوری سرمایه‌گذاری مربوط می‌شود. در واقع، بخش مهمی از بحران مشروعیت داوری سرمایه‌گذاری از اینجا آغاز می‌شود که دامنه صلاحیت به نحوی تفسیر گردد که اختلافات سیاست‌گذاری عمومی یا تصمیمات حاکمیتی دولت، در قالب اختلافات سرمایه‌گذاری بازسازی و قابل داوری شوند</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(Van Harten, 2007)</w:t>
      </w:r>
    </w:p>
    <w:p w14:paraId="4ACA4CF2" w14:textId="63C486D6"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در ظاهر عمدتاً ناظر بر قواعد دادرسی‌اند، اما در عمل در کنار رویه‌های متأخر، به بازتعریف مرزهای صلاحیت کمک کرده‌اند؛ به‌ویژه از طریق تقویت ابزارهای مدیریت مقدماتی دعوا، افزایش کنترل بر دعاوی فاقد مبنای کافی، و شفاف‌تر کردن فرآیندهای مرتبط با اعتراضات صلاحیتی</w:t>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(ICSID Arbitration Rules, 2022) </w:t>
      </w:r>
      <w:r w:rsidRPr="00DF39AA">
        <w:rPr>
          <w:rFonts w:ascii="Times New Roman" w:hAnsi="Times New Roman" w:cs="B Nazanin"/>
          <w:sz w:val="20"/>
          <w:rtl/>
          <w:lang w:val="en-GB" w:bidi="ar-SA"/>
        </w:rPr>
        <w:t xml:space="preserve">با این حال، تحول اصلی در صلاحیت ایکسید را باید در سطح «محتوا» و «منطق تفسیری» بررسی کرد؛ جایی که هیئت‌های داوری از تفسیرهای موسّع و حمایت‌محور فاصله گرفته و به سمت معیارهای کنترل‌پذیرتر، مشروعیت‌محورتر و تعادل‌گرا حرکت </w:t>
      </w:r>
      <w:proofErr w:type="gramStart"/>
      <w:r w:rsidRPr="00DF39AA">
        <w:rPr>
          <w:rFonts w:ascii="Times New Roman" w:hAnsi="Times New Roman" w:cs="B Nazanin"/>
          <w:sz w:val="20"/>
          <w:rtl/>
          <w:lang w:val="en-GB" w:bidi="ar-SA"/>
        </w:rPr>
        <w:t>کرده‌اند</w:t>
      </w:r>
      <w:r w:rsidRPr="00DF39AA">
        <w:rPr>
          <w:rFonts w:ascii="Times New Roman" w:hAnsi="Times New Roman" w:cs="B Nazanin"/>
          <w:sz w:val="20"/>
          <w:lang w:val="en-GB"/>
        </w:rPr>
        <w:t xml:space="preserve"> </w:t>
      </w:r>
      <w:r w:rsidR="00955001">
        <w:rPr>
          <w:rFonts w:ascii="Times New Roman" w:hAnsi="Times New Roman" w:cs="B Nazanin" w:hint="cs"/>
          <w:sz w:val="20"/>
          <w:rtl/>
          <w:lang w:val="en-GB"/>
        </w:rPr>
        <w:t>.</w:t>
      </w:r>
      <w:proofErr w:type="gramEnd"/>
    </w:p>
    <w:p w14:paraId="4DF6AE4A" w14:textId="7777777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در این چارچوب، سه محور تحول مفهومی در صلاحیت ایکسید بیشترین اهمیت را دارند: (</w:t>
      </w:r>
      <w:r w:rsidRPr="00DF39AA">
        <w:rPr>
          <w:rFonts w:ascii="Times New Roman" w:hAnsi="Times New Roman" w:cs="B Nazanin"/>
          <w:sz w:val="20"/>
          <w:rtl/>
          <w:lang w:val="en-GB"/>
        </w:rPr>
        <w:t xml:space="preserve">۱) </w:t>
      </w:r>
      <w:r w:rsidRPr="00DF39AA">
        <w:rPr>
          <w:rFonts w:ascii="Times New Roman" w:hAnsi="Times New Roman" w:cs="B Nazanin"/>
          <w:sz w:val="20"/>
          <w:rtl/>
          <w:lang w:val="en-GB" w:bidi="ar-SA"/>
        </w:rPr>
        <w:t>تحول در تعریف و سنجش سرمایه‌گذاری و معیارهای صلاحیت موضوعی، (</w:t>
      </w:r>
      <w:r w:rsidRPr="00DF39AA">
        <w:rPr>
          <w:rFonts w:ascii="Times New Roman" w:hAnsi="Times New Roman" w:cs="B Nazanin"/>
          <w:sz w:val="20"/>
          <w:rtl/>
          <w:lang w:val="en-GB"/>
        </w:rPr>
        <w:t xml:space="preserve">۲) </w:t>
      </w:r>
      <w:r w:rsidRPr="00DF39AA">
        <w:rPr>
          <w:rFonts w:ascii="Times New Roman" w:hAnsi="Times New Roman" w:cs="B Nazanin"/>
          <w:sz w:val="20"/>
          <w:rtl/>
          <w:lang w:val="en-GB" w:bidi="ar-SA"/>
        </w:rPr>
        <w:t>تحول در ارزیابی رضایت و سوءاستفاده از ساختار معاهدات، و (</w:t>
      </w:r>
      <w:r w:rsidRPr="00DF39AA">
        <w:rPr>
          <w:rFonts w:ascii="Times New Roman" w:hAnsi="Times New Roman" w:cs="B Nazanin"/>
          <w:sz w:val="20"/>
          <w:rtl/>
          <w:lang w:val="en-GB"/>
        </w:rPr>
        <w:t xml:space="preserve">۳) </w:t>
      </w:r>
      <w:r w:rsidRPr="00DF39AA">
        <w:rPr>
          <w:rFonts w:ascii="Times New Roman" w:hAnsi="Times New Roman" w:cs="B Nazanin"/>
          <w:sz w:val="20"/>
          <w:rtl/>
          <w:lang w:val="en-GB" w:bidi="ar-SA"/>
        </w:rPr>
        <w:t>تحول در جایگاه دعاوی متقابل و پیوند صلاحیت با الزامات فرابخشی</w:t>
      </w:r>
      <w:r w:rsidRPr="00DF39AA">
        <w:rPr>
          <w:rFonts w:ascii="Times New Roman" w:hAnsi="Times New Roman" w:cs="B Nazanin"/>
          <w:sz w:val="20"/>
          <w:lang w:val="en-GB"/>
        </w:rPr>
        <w:t>.</w:t>
      </w:r>
    </w:p>
    <w:p w14:paraId="27999924" w14:textId="3A8B28E0"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۲</w:t>
      </w:r>
      <w:r w:rsidRPr="00DF39AA">
        <w:rPr>
          <w:rFonts w:ascii="Times New Roman" w:hAnsi="Times New Roman" w:cs="B Nazanin"/>
          <w:sz w:val="20"/>
          <w:lang w:val="en-GB"/>
        </w:rPr>
        <w:t>–</w:t>
      </w:r>
      <w:r w:rsidRPr="00DF39AA">
        <w:rPr>
          <w:rFonts w:ascii="Times New Roman" w:hAnsi="Times New Roman" w:cs="B Nazanin"/>
          <w:sz w:val="20"/>
          <w:rtl/>
          <w:lang w:val="en-GB"/>
        </w:rPr>
        <w:t>۱</w:t>
      </w:r>
      <w:r w:rsidR="009B0DF4">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تحول در صلاحیت موضوعی</w:t>
      </w:r>
      <w:r w:rsidR="00AE46FB">
        <w:rPr>
          <w:rStyle w:val="FootnoteReference"/>
          <w:rFonts w:ascii="Times New Roman" w:hAnsi="Times New Roman" w:cs="B Nazanin"/>
          <w:sz w:val="20"/>
          <w:rtl/>
          <w:lang w:val="en-GB" w:bidi="ar-SA"/>
        </w:rPr>
        <w:footnoteReference w:id="1"/>
      </w:r>
      <w:r w:rsidR="00AE46FB">
        <w:rPr>
          <w:rFonts w:ascii="Times New Roman" w:hAnsi="Times New Roman" w:cs="B Nazanin" w:hint="cs"/>
          <w:sz w:val="20"/>
          <w:rtl/>
          <w:lang w:val="en-GB"/>
        </w:rPr>
        <w:t>:</w:t>
      </w:r>
    </w:p>
    <w:p w14:paraId="4A94B559" w14:textId="46FD545D"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صلاحیت موضوعی ایکسید در ماده </w:t>
      </w:r>
      <w:r w:rsidRPr="00DF39AA">
        <w:rPr>
          <w:rFonts w:ascii="Times New Roman" w:hAnsi="Times New Roman" w:cs="B Nazanin"/>
          <w:sz w:val="20"/>
          <w:rtl/>
          <w:lang w:val="en-GB"/>
        </w:rPr>
        <w:t>۲۵</w:t>
      </w:r>
      <w:r w:rsidRPr="00DF39AA">
        <w:rPr>
          <w:rFonts w:ascii="Times New Roman" w:hAnsi="Times New Roman" w:cs="B Nazanin"/>
          <w:sz w:val="20"/>
          <w:rtl/>
          <w:lang w:val="en-GB" w:bidi="ar-SA"/>
        </w:rPr>
        <w:t xml:space="preserve"> کنوانسیون به «اختلاف ناشی از سرمایه‌گذاری» وابسته شده است. سکوت کنوانسیون در تعریف سرمایه‌گذاری باعث شد که رویه داوری در این حوزه نقش قانون‌ساز پیدا کند</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Schreuer</w:t>
      </w:r>
      <w:proofErr w:type="spellEnd"/>
      <w:r w:rsidRPr="00DF39AA">
        <w:rPr>
          <w:rFonts w:ascii="Times New Roman" w:hAnsi="Times New Roman" w:cs="B Nazanin"/>
          <w:sz w:val="20"/>
          <w:lang w:val="en-GB"/>
        </w:rPr>
        <w:t xml:space="preserve">, 2009). </w:t>
      </w:r>
      <w:r w:rsidRPr="00DF39AA">
        <w:rPr>
          <w:rFonts w:ascii="Times New Roman" w:hAnsi="Times New Roman" w:cs="B Nazanin"/>
          <w:sz w:val="20"/>
          <w:rtl/>
          <w:lang w:val="en-GB" w:bidi="ar-SA"/>
        </w:rPr>
        <w:t>در مرحله نخست، آزمون سالینی به عنوان معیار غالب مطرح شد و سرمایه‌گذاری را بر پایه عناصر اقتصادی (تعهد مالی، ریسک، مدت، و نقش توسعه‌ای) ارزیابی کرد</w:t>
      </w:r>
      <w:r w:rsidRPr="00DF39AA">
        <w:rPr>
          <w:rFonts w:ascii="Times New Roman" w:hAnsi="Times New Roman" w:cs="B Nazanin"/>
          <w:sz w:val="20"/>
          <w:lang w:val="en-GB"/>
        </w:rPr>
        <w:t xml:space="preserve"> (Salini v. Morocco, 2001). </w:t>
      </w:r>
      <w:r w:rsidRPr="00DF39AA">
        <w:rPr>
          <w:rFonts w:ascii="Times New Roman" w:hAnsi="Times New Roman" w:cs="B Nazanin"/>
          <w:sz w:val="20"/>
          <w:rtl/>
          <w:lang w:val="en-GB" w:bidi="ar-SA"/>
        </w:rPr>
        <w:t>این معیار، در دوره‌ای ابزار مهمی برای جلوگیری از ورود اختلافات صرفاً تجاری به قلمرو ایکسید بود</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w:t>
      </w:r>
    </w:p>
    <w:p w14:paraId="45FDE4CF" w14:textId="2333CE74"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اما تحول مفهومی زمانی رخ داد که داوری سرمایه‌گذاری دریافت این عناصر، به تنهایی نمی‌توانند مانع ورود سرمایه‌گذاری‌های صوری یا فرصت‌طلبانه شوند. به همین دلیل، رویه‌های متأخر به سمت رویکردی حرکت کردند که در آن «اصالت و مشروعیت سرمایه‌گذاری» به بخشی از تحلیل صلاحیت تبدیل شد. پرونده</w:t>
      </w:r>
      <w:r w:rsidRPr="00DF39AA">
        <w:rPr>
          <w:rFonts w:ascii="Times New Roman" w:hAnsi="Times New Roman" w:cs="B Nazanin"/>
          <w:sz w:val="20"/>
          <w:lang w:val="en-GB"/>
        </w:rPr>
        <w:t xml:space="preserve"> </w:t>
      </w:r>
      <w:r w:rsidR="00AE46FB" w:rsidRPr="00AE46FB">
        <w:rPr>
          <w:rFonts w:ascii="Times New Roman" w:hAnsi="Times New Roman" w:cs="B Nazanin" w:hint="cs"/>
          <w:sz w:val="20"/>
          <w:rtl/>
          <w:lang w:val="en-GB"/>
        </w:rPr>
        <w:t>فینیکس</w:t>
      </w:r>
      <w:r w:rsidR="00AE46FB" w:rsidRPr="00AE46FB">
        <w:rPr>
          <w:rFonts w:ascii="Times New Roman" w:hAnsi="Times New Roman" w:cs="B Nazanin"/>
          <w:sz w:val="20"/>
          <w:rtl/>
          <w:lang w:val="en-GB"/>
        </w:rPr>
        <w:t xml:space="preserve"> </w:t>
      </w:r>
      <w:r w:rsidR="00AE46FB" w:rsidRPr="00AE46FB">
        <w:rPr>
          <w:rFonts w:ascii="Times New Roman" w:hAnsi="Times New Roman" w:cs="B Nazanin" w:hint="cs"/>
          <w:sz w:val="20"/>
          <w:rtl/>
          <w:lang w:val="en-GB"/>
        </w:rPr>
        <w:t>اکشن</w:t>
      </w:r>
      <w:r w:rsidR="00AE46FB" w:rsidRPr="00AE46FB">
        <w:rPr>
          <w:rFonts w:ascii="Times New Roman" w:hAnsi="Times New Roman" w:cs="B Nazanin"/>
          <w:sz w:val="20"/>
          <w:rtl/>
          <w:lang w:val="en-GB"/>
        </w:rPr>
        <w:t xml:space="preserve"> </w:t>
      </w:r>
      <w:r w:rsidR="00AE46FB" w:rsidRPr="00AE46FB">
        <w:rPr>
          <w:rFonts w:ascii="Times New Roman" w:hAnsi="Times New Roman" w:cs="B Nazanin" w:hint="cs"/>
          <w:sz w:val="20"/>
          <w:rtl/>
          <w:lang w:val="en-GB"/>
        </w:rPr>
        <w:t>علیه</w:t>
      </w:r>
      <w:r w:rsidR="00AE46FB" w:rsidRPr="00AE46FB">
        <w:rPr>
          <w:rFonts w:ascii="Times New Roman" w:hAnsi="Times New Roman" w:cs="B Nazanin"/>
          <w:sz w:val="20"/>
          <w:rtl/>
          <w:lang w:val="en-GB"/>
        </w:rPr>
        <w:t xml:space="preserve"> </w:t>
      </w:r>
      <w:r w:rsidR="00AE46FB" w:rsidRPr="00AE46FB">
        <w:rPr>
          <w:rFonts w:ascii="Times New Roman" w:hAnsi="Times New Roman" w:cs="B Nazanin" w:hint="cs"/>
          <w:sz w:val="20"/>
          <w:rtl/>
          <w:lang w:val="en-GB"/>
        </w:rPr>
        <w:t>جمهوری</w:t>
      </w:r>
      <w:r w:rsidR="00AE46FB" w:rsidRPr="00AE46FB">
        <w:rPr>
          <w:rFonts w:ascii="Times New Roman" w:hAnsi="Times New Roman" w:cs="B Nazanin"/>
          <w:sz w:val="20"/>
          <w:rtl/>
          <w:lang w:val="en-GB"/>
        </w:rPr>
        <w:t xml:space="preserve"> </w:t>
      </w:r>
      <w:r w:rsidR="00AE46FB" w:rsidRPr="00AE46FB">
        <w:rPr>
          <w:rFonts w:ascii="Times New Roman" w:hAnsi="Times New Roman" w:cs="B Nazanin" w:hint="cs"/>
          <w:sz w:val="20"/>
          <w:rtl/>
          <w:lang w:val="en-GB"/>
        </w:rPr>
        <w:t>چک</w:t>
      </w:r>
      <w:r w:rsidR="00AE46FB" w:rsidRPr="00AE46FB">
        <w:rPr>
          <w:rFonts w:ascii="Times New Roman" w:hAnsi="Times New Roman" w:cs="B Nazanin"/>
          <w:sz w:val="20"/>
          <w:rtl/>
          <w:lang w:val="en-GB"/>
        </w:rPr>
        <w:t xml:space="preserve"> </w:t>
      </w:r>
      <w:r w:rsidRPr="00DF39AA">
        <w:rPr>
          <w:rFonts w:ascii="Times New Roman" w:hAnsi="Times New Roman" w:cs="B Nazanin"/>
          <w:sz w:val="20"/>
          <w:rtl/>
          <w:lang w:val="en-GB" w:bidi="ar-SA"/>
        </w:rPr>
        <w:t xml:space="preserve">نمونه روشن این چرخش است: هیئت داوری در تحلیل صلاحیت، به این نتیجه رسید که ساختار سرمایه‌گذاری نباید صرفاً برای دسترسی به حمایت </w:t>
      </w:r>
      <w:r w:rsidRPr="00DF39AA">
        <w:rPr>
          <w:rFonts w:ascii="Times New Roman" w:hAnsi="Times New Roman" w:cs="B Nazanin"/>
          <w:sz w:val="20"/>
          <w:rtl/>
          <w:lang w:val="en-GB" w:bidi="ar-SA"/>
        </w:rPr>
        <w:lastRenderedPageBreak/>
        <w:t>معاهده‌ای ایجاد شده باشد و سوءاستفاده از چارچوب حقوقی می‌تواند صلاحیت را منتفی کند</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(Phoenix Action v. Czech Republic, 2009)</w:t>
      </w:r>
    </w:p>
    <w:p w14:paraId="383FABFF" w14:textId="05099A1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در نتیجه، مفهوم سرمایه‌گذاری در صلاحیت ایکسید از یک مفهوم صرفاً اقتصادی به یک مفهوم «حقوقی-هنجاری» تبدیل شد؛ مفهومی که در آن، معیارهای مشروعیت، حسن نیت و سلامت حقوقی سرمایه‌گذاری دروازه ورود به داوری محسوب می‌شوند</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Dolzer</w:t>
      </w:r>
      <w:proofErr w:type="spellEnd"/>
      <w:r w:rsidRPr="00DF39AA">
        <w:rPr>
          <w:rFonts w:ascii="Times New Roman" w:hAnsi="Times New Roman" w:cs="B Nazanin"/>
          <w:sz w:val="20"/>
          <w:lang w:val="en-GB"/>
        </w:rPr>
        <w:t xml:space="preserve"> &amp; </w:t>
      </w:r>
      <w:proofErr w:type="spellStart"/>
      <w:r w:rsidRPr="00DF39AA">
        <w:rPr>
          <w:rFonts w:ascii="Times New Roman" w:hAnsi="Times New Roman" w:cs="B Nazanin"/>
          <w:sz w:val="20"/>
          <w:lang w:val="en-GB"/>
        </w:rPr>
        <w:t>Schreuer</w:t>
      </w:r>
      <w:proofErr w:type="spellEnd"/>
      <w:r w:rsidRPr="00DF39AA">
        <w:rPr>
          <w:rFonts w:ascii="Times New Roman" w:hAnsi="Times New Roman" w:cs="B Nazanin"/>
          <w:sz w:val="20"/>
          <w:lang w:val="en-GB"/>
        </w:rPr>
        <w:t xml:space="preserve">, 2022). </w:t>
      </w:r>
      <w:r w:rsidR="00AE46FB">
        <w:rPr>
          <w:rFonts w:ascii="Times New Roman" w:hAnsi="Times New Roman" w:cs="B Nazanin" w:hint="cs"/>
          <w:sz w:val="20"/>
          <w:rtl/>
          <w:lang w:val="en-GB"/>
        </w:rPr>
        <w:t xml:space="preserve"> </w:t>
      </w:r>
      <w:r w:rsidRPr="00DF39AA">
        <w:rPr>
          <w:rFonts w:ascii="Times New Roman" w:hAnsi="Times New Roman" w:cs="B Nazanin"/>
          <w:sz w:val="20"/>
          <w:rtl/>
          <w:lang w:val="en-GB" w:bidi="ar-SA"/>
        </w:rPr>
        <w:t>این تحول از منظر دولت‌ها اهمیت ویژه دارد، زیرا امکان می‌دهد اختلافاتی که از ابتدا مبتنی بر ساختارهای غیرواقعی یا سوءاستفاده از حمایت معاهده‌ای هستند، در همان مرحله صلاحیتی متوقف شوند و به ماهیت کشیده نشوند</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Schreuer</w:t>
      </w:r>
      <w:proofErr w:type="spellEnd"/>
      <w:r w:rsidRPr="00DF39AA">
        <w:rPr>
          <w:rFonts w:ascii="Times New Roman" w:hAnsi="Times New Roman" w:cs="B Nazanin"/>
          <w:sz w:val="20"/>
          <w:lang w:val="en-GB"/>
        </w:rPr>
        <w:t>, 2009)</w:t>
      </w:r>
    </w:p>
    <w:p w14:paraId="4FA1A001" w14:textId="41D27650"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۲</w:t>
      </w:r>
      <w:r w:rsidRPr="00DF39AA">
        <w:rPr>
          <w:rFonts w:ascii="Times New Roman" w:hAnsi="Times New Roman" w:cs="B Nazanin"/>
          <w:sz w:val="20"/>
          <w:lang w:val="en-GB"/>
        </w:rPr>
        <w:t>–</w:t>
      </w:r>
      <w:r w:rsidRPr="00DF39AA">
        <w:rPr>
          <w:rFonts w:ascii="Times New Roman" w:hAnsi="Times New Roman" w:cs="B Nazanin"/>
          <w:sz w:val="20"/>
          <w:rtl/>
          <w:lang w:val="en-GB"/>
        </w:rPr>
        <w:t>۲</w:t>
      </w:r>
      <w:r w:rsidR="009B0DF4">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تحول در صلاحیت شخصی</w:t>
      </w:r>
      <w:r w:rsidR="00AE46FB">
        <w:rPr>
          <w:rStyle w:val="FootnoteReference"/>
          <w:rFonts w:ascii="Times New Roman" w:hAnsi="Times New Roman" w:cs="B Nazanin"/>
          <w:sz w:val="20"/>
          <w:rtl/>
          <w:lang w:val="en-GB" w:bidi="ar-SA"/>
        </w:rPr>
        <w:footnoteReference w:id="2"/>
      </w:r>
      <w:r w:rsidR="00AE46FB">
        <w:rPr>
          <w:rFonts w:ascii="Times New Roman" w:hAnsi="Times New Roman" w:cs="B Nazanin" w:hint="cs"/>
          <w:sz w:val="20"/>
          <w:rtl/>
          <w:lang w:val="en-GB" w:bidi="ar-SA"/>
        </w:rPr>
        <w:t>:</w:t>
      </w:r>
    </w:p>
    <w:p w14:paraId="068417D0" w14:textId="30D13E4F"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صلاحیت شخصی ایکسید وابسته به آن است که اختلاف میان «یک دولت عضو» و «تبعه دولت عضو دیگر» شکل گرفته باشد. در ظاهر این شرط روشن است، اما در عمل با مسئله‌ای جدی مواجه شد: سرمایه‌گذاران می‌توانند از طریق طراحی ساختارهای شرکتی و تغییر تابعیت، اختلاف را به حوزه داوری سرمایه‌گذاری منتقل کنند. در برخی پرونده‌ها، تابعیت شرکت به‌گونه‌ای تنظیم می‌شود که هدف اصلی نه فعالیت اقتصادی واقعی، بلکه بهره‌برداری از حمایت معاهده‌ای باشد. این پدیده در ادبیات داوری سرمایه‌گذاری به عنوان نوعی «تبعیت‌سازی ابزاری</w:t>
      </w:r>
      <w:r w:rsidR="00AE46FB">
        <w:rPr>
          <w:rStyle w:val="FootnoteReference"/>
          <w:rFonts w:ascii="Times New Roman" w:hAnsi="Times New Roman" w:cs="B Nazanin"/>
          <w:sz w:val="20"/>
          <w:rtl/>
          <w:lang w:val="en-GB" w:bidi="ar-SA"/>
        </w:rPr>
        <w:footnoteReference w:id="3"/>
      </w:r>
      <w:r w:rsidRPr="00DF39AA">
        <w:rPr>
          <w:rFonts w:ascii="Times New Roman" w:hAnsi="Times New Roman" w:cs="B Nazanin"/>
          <w:sz w:val="20"/>
          <w:rtl/>
          <w:lang w:val="en-GB" w:bidi="ar-SA"/>
        </w:rPr>
        <w:t xml:space="preserve">» </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شناخته می‌شود</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Sornarajah</w:t>
      </w:r>
      <w:proofErr w:type="spellEnd"/>
      <w:r w:rsidRPr="00DF39AA">
        <w:rPr>
          <w:rFonts w:ascii="Times New Roman" w:hAnsi="Times New Roman" w:cs="B Nazanin"/>
          <w:sz w:val="20"/>
          <w:lang w:val="en-GB"/>
        </w:rPr>
        <w:t>, 2021)</w:t>
      </w:r>
    </w:p>
    <w:p w14:paraId="14924B0D" w14:textId="5C690B8B"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در واکنش به این چالش، داوری ایکسید به تدریج از نگاه شکلی به تابعیت فاصله گرفت و به سمت بررسی ماهیت واقعی کنترل و هدف ساختار شرکتی حرکت کرد. پرونده</w:t>
      </w:r>
      <w:r w:rsidRPr="00DF39AA">
        <w:rPr>
          <w:rFonts w:ascii="Times New Roman" w:hAnsi="Times New Roman" w:cs="B Nazanin"/>
          <w:sz w:val="20"/>
          <w:lang w:val="en-GB"/>
        </w:rPr>
        <w:t xml:space="preserve"> </w:t>
      </w:r>
      <w:r w:rsidR="00AE46FB" w:rsidRPr="00AE46FB">
        <w:rPr>
          <w:rFonts w:ascii="Times New Roman" w:hAnsi="Times New Roman" w:cs="B Nazanin" w:hint="cs"/>
          <w:sz w:val="20"/>
          <w:rtl/>
          <w:lang w:val="en-GB"/>
        </w:rPr>
        <w:t>توکیوس</w:t>
      </w:r>
      <w:r w:rsidR="00AE46FB" w:rsidRPr="00AE46FB">
        <w:rPr>
          <w:rFonts w:ascii="Times New Roman" w:hAnsi="Times New Roman" w:cs="B Nazanin"/>
          <w:sz w:val="20"/>
          <w:rtl/>
          <w:lang w:val="en-GB"/>
        </w:rPr>
        <w:t xml:space="preserve"> </w:t>
      </w:r>
      <w:r w:rsidR="00AE46FB" w:rsidRPr="00AE46FB">
        <w:rPr>
          <w:rFonts w:ascii="Times New Roman" w:hAnsi="Times New Roman" w:cs="B Nazanin" w:hint="cs"/>
          <w:sz w:val="20"/>
          <w:rtl/>
          <w:lang w:val="en-GB"/>
        </w:rPr>
        <w:t>توکله‌س</w:t>
      </w:r>
      <w:r w:rsidR="00AE46FB" w:rsidRPr="00AE46FB">
        <w:rPr>
          <w:rFonts w:ascii="Times New Roman" w:hAnsi="Times New Roman" w:cs="B Nazanin"/>
          <w:sz w:val="20"/>
          <w:rtl/>
          <w:lang w:val="en-GB"/>
        </w:rPr>
        <w:t xml:space="preserve"> </w:t>
      </w:r>
      <w:r w:rsidR="00AE46FB" w:rsidRPr="00AE46FB">
        <w:rPr>
          <w:rFonts w:ascii="Times New Roman" w:hAnsi="Times New Roman" w:cs="B Nazanin" w:hint="cs"/>
          <w:sz w:val="20"/>
          <w:rtl/>
          <w:lang w:val="en-GB"/>
        </w:rPr>
        <w:t>علیه</w:t>
      </w:r>
      <w:r w:rsidR="00AE46FB" w:rsidRPr="00AE46FB">
        <w:rPr>
          <w:rFonts w:ascii="Times New Roman" w:hAnsi="Times New Roman" w:cs="B Nazanin"/>
          <w:sz w:val="20"/>
          <w:rtl/>
          <w:lang w:val="en-GB"/>
        </w:rPr>
        <w:t xml:space="preserve"> </w:t>
      </w:r>
      <w:r w:rsidR="00AE46FB" w:rsidRPr="00AE46FB">
        <w:rPr>
          <w:rFonts w:ascii="Times New Roman" w:hAnsi="Times New Roman" w:cs="B Nazanin" w:hint="cs"/>
          <w:sz w:val="20"/>
          <w:rtl/>
          <w:lang w:val="en-GB"/>
        </w:rPr>
        <w:t>اوکراین</w:t>
      </w:r>
      <w:r w:rsidR="00AE46FB">
        <w:rPr>
          <w:rFonts w:ascii="Times New Roman" w:hAnsi="Times New Roman" w:cs="B Nazanin" w:hint="cs"/>
          <w:sz w:val="20"/>
          <w:rtl/>
          <w:lang w:val="en-GB"/>
        </w:rPr>
        <w:t xml:space="preserve">، </w:t>
      </w:r>
      <w:r w:rsidRPr="00DF39AA">
        <w:rPr>
          <w:rFonts w:ascii="Times New Roman" w:hAnsi="Times New Roman" w:cs="B Nazanin"/>
          <w:sz w:val="20"/>
          <w:rtl/>
          <w:lang w:val="en-GB" w:bidi="ar-SA"/>
        </w:rPr>
        <w:t>نمونه‌ای است که اهمیت این بحث را برجسته ساخت و نشان داد که تکیه صرف بر ثبت شرکت می‌تواند به نتایجی منتهی شود که با منطق واقعی حمایت از سرمایه‌گذاری ناسازگار است</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Tokios</w:t>
      </w:r>
      <w:proofErr w:type="spellEnd"/>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Tokelés</w:t>
      </w:r>
      <w:proofErr w:type="spellEnd"/>
      <w:r w:rsidRPr="00DF39AA">
        <w:rPr>
          <w:rFonts w:ascii="Times New Roman" w:hAnsi="Times New Roman" w:cs="B Nazanin"/>
          <w:sz w:val="20"/>
          <w:lang w:val="en-GB"/>
        </w:rPr>
        <w:t xml:space="preserve"> v. Ukraine, 2004). </w:t>
      </w:r>
      <w:r w:rsidR="009B0DF4">
        <w:rPr>
          <w:rFonts w:ascii="Times New Roman" w:hAnsi="Times New Roman" w:cs="B Nazanin" w:hint="cs"/>
          <w:sz w:val="20"/>
          <w:rtl/>
          <w:lang w:val="en-GB"/>
        </w:rPr>
        <w:t xml:space="preserve"> </w:t>
      </w:r>
      <w:r w:rsidRPr="00DF39AA">
        <w:rPr>
          <w:rFonts w:ascii="Times New Roman" w:hAnsi="Times New Roman" w:cs="B Nazanin"/>
          <w:sz w:val="20"/>
          <w:rtl/>
          <w:lang w:val="en-GB" w:bidi="ar-SA"/>
        </w:rPr>
        <w:t>همین مسیر، زمینه را برای تقویت کنترل‌های صلاحیتی در پرونده‌های بعدی فراهم کرد؛ به‌ویژه در پرونده‌هایی که هیئت داوری با حساسیت بیشتری به «واقعیت اقتصادی» و «هدف ساختاردهی حقوقی» توجه کرده است</w:t>
      </w:r>
      <w:r w:rsidRPr="00DF39AA">
        <w:rPr>
          <w:rFonts w:ascii="Times New Roman" w:hAnsi="Times New Roman" w:cs="B Nazanin"/>
          <w:sz w:val="20"/>
          <w:lang w:val="en-GB"/>
        </w:rPr>
        <w:t>.</w:t>
      </w:r>
    </w:p>
    <w:p w14:paraId="4B55E5F3" w14:textId="17CEDF8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بنابراین، تحول مفهومی در صلاحیت شخصی ایکسید را باید گذار از معیار تابعیت صوری به سمت معیار تابعیت واقعی و کنترل‌محور دانست. این تحول، از یک سو مشروعیت نظام را تقویت می‌کند، زیرا مانع تبدیل داوری سرمایه‌گذاری به ابزار سوءاستفاده ساختاری می‌شود؛ و از سوی دیگر، به دولت‌ها امکان می‌دهد در مرحله صلاحیتی، دفاع خود را بر مبنای فقدان پیوند واقعی سرمایه‌گذار با دولت متبوع سامان دهند</w:t>
      </w:r>
      <w:r w:rsidR="009B0DF4">
        <w:rPr>
          <w:rFonts w:ascii="Times New Roman" w:hAnsi="Times New Roman" w:cs="B Nazanin" w:hint="cs"/>
          <w:sz w:val="20"/>
          <w:rtl/>
          <w:lang w:val="en-GB" w:bidi="ar-SA"/>
        </w:rPr>
        <w:t xml:space="preserve">. </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Sornarajah</w:t>
      </w:r>
      <w:proofErr w:type="spellEnd"/>
      <w:r w:rsidRPr="00DF39AA">
        <w:rPr>
          <w:rFonts w:ascii="Times New Roman" w:hAnsi="Times New Roman" w:cs="B Nazanin"/>
          <w:sz w:val="20"/>
          <w:lang w:val="en-GB"/>
        </w:rPr>
        <w:t>, 2021)</w:t>
      </w:r>
    </w:p>
    <w:p w14:paraId="35494BD3" w14:textId="4444A11C"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۲</w:t>
      </w:r>
      <w:r w:rsidRPr="00DF39AA">
        <w:rPr>
          <w:rFonts w:ascii="Times New Roman" w:hAnsi="Times New Roman" w:cs="B Nazanin"/>
          <w:sz w:val="20"/>
          <w:lang w:val="en-GB"/>
        </w:rPr>
        <w:t>–</w:t>
      </w:r>
      <w:r w:rsidRPr="00DF39AA">
        <w:rPr>
          <w:rFonts w:ascii="Times New Roman" w:hAnsi="Times New Roman" w:cs="B Nazanin"/>
          <w:sz w:val="20"/>
          <w:rtl/>
          <w:lang w:val="en-GB"/>
        </w:rPr>
        <w:t>۳</w:t>
      </w:r>
      <w:r w:rsidR="009B0DF4">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تحول در رضایت به داوری</w:t>
      </w:r>
      <w:r w:rsidR="00AE46FB">
        <w:rPr>
          <w:rStyle w:val="FootnoteReference"/>
          <w:rFonts w:ascii="Times New Roman" w:hAnsi="Times New Roman" w:cs="B Nazanin"/>
          <w:sz w:val="20"/>
          <w:rtl/>
          <w:lang w:val="en-GB" w:bidi="ar-SA"/>
        </w:rPr>
        <w:footnoteReference w:id="4"/>
      </w:r>
      <w:r w:rsidR="009B0DF4">
        <w:rPr>
          <w:rFonts w:ascii="Times New Roman" w:hAnsi="Times New Roman" w:cs="B Nazanin" w:hint="cs"/>
          <w:sz w:val="20"/>
          <w:rtl/>
          <w:lang w:val="en-GB" w:bidi="ar-SA"/>
        </w:rPr>
        <w:t>:</w:t>
      </w:r>
      <w:r w:rsidRPr="00DF39AA">
        <w:rPr>
          <w:rFonts w:ascii="Times New Roman" w:hAnsi="Times New Roman" w:cs="B Nazanin"/>
          <w:sz w:val="20"/>
          <w:lang w:val="en-GB"/>
        </w:rPr>
        <w:t xml:space="preserve"> </w:t>
      </w:r>
    </w:p>
    <w:p w14:paraId="57EEAF9F" w14:textId="7777777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رضایت دولت به داوری سرمایه‌گذاری، اساس صلاحیت ایکسید است. در نظام ایکسید، رضایت ممکن است از طریق معاهده دوجانبه سرمایه‌گذاری، قرارداد سرمایه‌گذاری یا قانون داخلی اعطا شود. با این حال، تحول مفهومی مهم در سال‌های اخیر آن است که رضایت دیگر به عنوان یک «مجوز عام و ایستا» فهم نمی‌شود، بلکه به عنوان تعهدی قابل تفسیر محدود و وابسته به شرایط متن معاهده تحلیل می‌گردد</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Schreuer</w:t>
      </w:r>
      <w:proofErr w:type="spellEnd"/>
      <w:r w:rsidRPr="00DF39AA">
        <w:rPr>
          <w:rFonts w:ascii="Times New Roman" w:hAnsi="Times New Roman" w:cs="B Nazanin"/>
          <w:sz w:val="20"/>
          <w:lang w:val="en-GB"/>
        </w:rPr>
        <w:t>, 2009).</w:t>
      </w:r>
    </w:p>
    <w:p w14:paraId="7AD45C05" w14:textId="46BFAE0B"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این تحول از آن جهت اهمیت دارد که بسیاری از بحران‌های مشروعیت ناشی از تفسیر موسّع رضایت دولت بوده است؛ به‌گونه‌ای که گاه اختلافات ناشی از اقدامات حاکمیتی گسترده یا سیاست‌های عمومی به عنوان اختلاف سرمایه‌گذاری قابل داوری تلقی </w:t>
      </w:r>
      <w:r w:rsidRPr="00DF39AA">
        <w:rPr>
          <w:rFonts w:ascii="Times New Roman" w:hAnsi="Times New Roman" w:cs="B Nazanin"/>
          <w:sz w:val="20"/>
          <w:rtl/>
          <w:lang w:val="en-GB" w:bidi="ar-SA"/>
        </w:rPr>
        <w:lastRenderedPageBreak/>
        <w:t>شده‌اند</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در مقابل، رویکرد جدید تلاش می‌کند رضایت را در چهارچوب دقیق متن معاهده محدود کند و از توسعه صلاحیت فراتر از قصد دولت‌ها جلوگیری نماید</w:t>
      </w:r>
      <w:r w:rsidR="009B0DF4">
        <w:rPr>
          <w:rFonts w:ascii="Times New Roman" w:hAnsi="Times New Roman" w:cs="B Nazanin" w:hint="cs"/>
          <w:sz w:val="20"/>
          <w:rtl/>
          <w:lang w:val="en-GB" w:bidi="ar-SA"/>
        </w:rPr>
        <w:t xml:space="preserve">. </w:t>
      </w:r>
    </w:p>
    <w:p w14:paraId="3FDB3649" w14:textId="64CF7A4A"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از همین منظر، کنترل‌های جدید رویه‌ای در قواعد اصلاح‌شده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نیز معنا پیدا می‌کند: هدف آن‌ها صرفاً مدیریت زمان رسیدگی نیست، بلکه جلوگیری از کشیده‌شدن دعاوی فاقد مبنای کافی به فرآیند طولانی و پرهزینه داوری است</w:t>
      </w:r>
      <w:r w:rsidRPr="00DF39AA">
        <w:rPr>
          <w:rFonts w:ascii="Times New Roman" w:hAnsi="Times New Roman" w:cs="B Nazanin"/>
          <w:sz w:val="20"/>
          <w:lang w:val="en-GB"/>
        </w:rPr>
        <w:t xml:space="preserve"> (ICSID Arbitration Rules, 2022). </w:t>
      </w:r>
      <w:r w:rsidR="009B0DF4">
        <w:rPr>
          <w:rFonts w:ascii="Times New Roman" w:hAnsi="Times New Roman" w:cs="B Nazanin" w:hint="cs"/>
          <w:sz w:val="20"/>
          <w:rtl/>
          <w:lang w:val="en-GB"/>
        </w:rPr>
        <w:t xml:space="preserve"> </w:t>
      </w:r>
      <w:r w:rsidRPr="00DF39AA">
        <w:rPr>
          <w:rFonts w:ascii="Times New Roman" w:hAnsi="Times New Roman" w:cs="B Nazanin"/>
          <w:sz w:val="20"/>
          <w:rtl/>
          <w:lang w:val="en-GB" w:bidi="ar-SA"/>
        </w:rPr>
        <w:t xml:space="preserve">به بیان دیگر،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در کنار تحول تفسیری در مفهوم رضایت، ظرفیت ایکسید را برای «کنترل مقدماتی صلاحیت» تقویت کرده‌اند</w:t>
      </w:r>
      <w:r w:rsidRPr="00DF39AA">
        <w:rPr>
          <w:rFonts w:ascii="Times New Roman" w:hAnsi="Times New Roman" w:cs="B Nazanin"/>
          <w:sz w:val="20"/>
          <w:lang w:val="en-GB"/>
        </w:rPr>
        <w:t>.</w:t>
      </w:r>
    </w:p>
    <w:p w14:paraId="3CD378D2" w14:textId="0ECDAC6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۲</w:t>
      </w:r>
      <w:r w:rsidRPr="00DF39AA">
        <w:rPr>
          <w:rFonts w:ascii="Times New Roman" w:hAnsi="Times New Roman" w:cs="B Nazanin"/>
          <w:sz w:val="20"/>
          <w:lang w:val="en-GB"/>
        </w:rPr>
        <w:t>–</w:t>
      </w:r>
      <w:r w:rsidRPr="00DF39AA">
        <w:rPr>
          <w:rFonts w:ascii="Times New Roman" w:hAnsi="Times New Roman" w:cs="B Nazanin"/>
          <w:sz w:val="20"/>
          <w:rtl/>
          <w:lang w:val="en-GB"/>
        </w:rPr>
        <w:t>۴</w:t>
      </w:r>
      <w:r w:rsidR="009B0DF4">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تحول در دعاوی متقابل و پیوند صلاحیت با الزامات فرابخشی</w:t>
      </w:r>
    </w:p>
    <w:p w14:paraId="17CEEB7B" w14:textId="7777777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یکی از نقاط مهم تحول در صلاحیت ایکسید، گسترش تدریجی امکان طرح دعاوی متقابل دولت‌ها است. در رویکرد کلاسیک، داوری سرمایه‌گذاری عمدتاً یک‌سویه بود: سرمایه‌گذار خواهان و دولت خوانده. اما تحول محتوایی زمانی رخ داد که برخی هیئت‌های داوری، امکان ورود تعهدات سرمایه‌گذار و حتی مفاهیم فرابخشی مانند حقوق بشر را در چهارچوب دعاوی متقابل یا دفاعیات دولت پذیرفتند</w:t>
      </w:r>
      <w:r w:rsidRPr="00DF39AA">
        <w:rPr>
          <w:rFonts w:ascii="Times New Roman" w:hAnsi="Times New Roman" w:cs="B Nazanin"/>
          <w:sz w:val="20"/>
          <w:lang w:val="en-GB"/>
        </w:rPr>
        <w:t xml:space="preserve"> (Urbaser v. Argentina, 2016).</w:t>
      </w:r>
    </w:p>
    <w:p w14:paraId="782C8354" w14:textId="5BC8E9A2"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این تحول از دو جهت اهمیت دارد: نخست آنکه داوری سرمایه‌گذاری از یک سازوکار حمایت‌محورِ یک‌جانبه فاصله می‌گیرد و به سمت یک سازوکار متوازن‌تر حرکت می‌کند. دوم آنکه صلاحیت ایکسید دیگر صرفاً به اختلاف اقتصادی تقلیل نمی‌یابد، بلکه می‌تواند در شرایط خاص، در تعامل با سایر حوزه‌های حقوق بین‌الملل عمل کند</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Sornarajah</w:t>
      </w:r>
      <w:proofErr w:type="spellEnd"/>
      <w:r w:rsidRPr="00DF39AA">
        <w:rPr>
          <w:rFonts w:ascii="Times New Roman" w:hAnsi="Times New Roman" w:cs="B Nazanin"/>
          <w:sz w:val="20"/>
          <w:lang w:val="en-GB"/>
        </w:rPr>
        <w:t xml:space="preserve">, 2021). </w:t>
      </w:r>
      <w:r w:rsidRPr="00DF39AA">
        <w:rPr>
          <w:rFonts w:ascii="Times New Roman" w:hAnsi="Times New Roman" w:cs="B Nazanin"/>
          <w:sz w:val="20"/>
          <w:rtl/>
          <w:lang w:val="en-GB" w:bidi="ar-SA"/>
        </w:rPr>
        <w:t>البته این تحول هنوز کاملاً تثبیت نشده و همچنان محل اختلاف است، اما از منظر مشروعیت، گامی مهم در جهت پاسخ به انتقادهای ساختاری محسوب می‌شود</w:t>
      </w:r>
      <w:r w:rsidRPr="00DF39AA">
        <w:rPr>
          <w:rFonts w:ascii="Times New Roman" w:hAnsi="Times New Roman" w:cs="B Nazanin"/>
          <w:sz w:val="20"/>
          <w:lang w:val="en-GB"/>
        </w:rPr>
        <w:t xml:space="preserve"> </w:t>
      </w:r>
      <w:r w:rsidR="00AE46FB">
        <w:rPr>
          <w:rFonts w:ascii="Times New Roman" w:hAnsi="Times New Roman" w:cs="B Nazanin" w:hint="cs"/>
          <w:sz w:val="20"/>
          <w:rtl/>
          <w:lang w:val="en-GB"/>
        </w:rPr>
        <w:t>.</w:t>
      </w:r>
    </w:p>
    <w:p w14:paraId="3466BF27" w14:textId="79F28A3D"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تحولات یادشده نشان می‌دهد که صلاحیت ایکسید از یک موضوع فنی و مقدماتی به یکی از اصلی‌ترین میدان‌های تحول مفهومی داوری سرمایه‌گذاری تبدیل شده است. حرکت از معیارهای شکلی به سمت معیارهای مشروعیت‌محور در تعریف سرمایه‌گذاری، کنترل تابعیت و مقابله با سوءاستفاده‌های ساختاری، تفسیر محدودتر رضایت دولت، و گسترش تدریجی امکان طرح دعاوی متقابل، همگی نشانه‌هایی از گذار از «صلاحیت حمایت‌محور» به «صلاحیت تعادل‌محور» هستند</w:t>
      </w:r>
      <w:r w:rsidR="007B7A04">
        <w:rPr>
          <w:rFonts w:ascii="Times New Roman" w:hAnsi="Times New Roman" w:cs="B Nazanin" w:hint="cs"/>
          <w:sz w:val="20"/>
          <w:rtl/>
          <w:lang w:val="en-GB" w:bidi="ar-SA"/>
        </w:rPr>
        <w:t>.</w:t>
      </w:r>
      <w:r w:rsidRPr="00DF39AA">
        <w:rPr>
          <w:rFonts w:ascii="Times New Roman" w:hAnsi="Times New Roman" w:cs="B Nazanin"/>
          <w:sz w:val="20"/>
          <w:lang w:val="en-GB"/>
        </w:rPr>
        <w:t xml:space="preserve"> </w:t>
      </w:r>
    </w:p>
    <w:p w14:paraId="64C00FC3" w14:textId="357890DD"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در این چارچوب،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نقش مکمل دارند: این اصلاحات در کنار تحول محتوایی رویه، ظرفیت کنترل مقدماتی دعوا و مدیریت کارآمد اختلافات را تقویت کرده‌اند و در نتیجه، به کاهش فشار مشروعیتی ناشی از طولانی‌شدن رسیدگی‌ها و گسترش بی‌ضابطه دعاوی کمک می‌کنند</w:t>
      </w:r>
      <w:r w:rsidRPr="00DF39AA">
        <w:rPr>
          <w:rFonts w:ascii="Times New Roman" w:hAnsi="Times New Roman" w:cs="B Nazanin"/>
          <w:sz w:val="20"/>
          <w:lang w:val="en-GB"/>
        </w:rPr>
        <w:t xml:space="preserve"> (ICSID Arbitration Rules, 2022; ICSID Secretariat, 2022). </w:t>
      </w:r>
      <w:r w:rsidRPr="00DF39AA">
        <w:rPr>
          <w:rFonts w:ascii="Times New Roman" w:hAnsi="Times New Roman" w:cs="B Nazanin"/>
          <w:sz w:val="20"/>
          <w:rtl/>
          <w:lang w:val="en-GB" w:bidi="ar-SA"/>
        </w:rPr>
        <w:t>با این حال، باید توجه داشت که صلاحیت همچنان یکی از اصلی‌ترین کانون‌های اختلاف باقی مانده است؛ زیرا تعیین مرز میان «تنظیم‌گری مشروع» و «نقض تعهدات حمایتی» همچنان وابسته به تفسیرهای متنوع هیئت‌های داوری است و همین مسئله می‌تواند به ناهمگونی رویه و استمرار چالش مشروعیت بینجامد</w:t>
      </w:r>
      <w:r w:rsidRPr="00DF39AA">
        <w:rPr>
          <w:rFonts w:ascii="Times New Roman" w:hAnsi="Times New Roman" w:cs="B Nazanin"/>
          <w:sz w:val="20"/>
          <w:lang w:val="en-GB"/>
        </w:rPr>
        <w:t xml:space="preserve"> </w:t>
      </w:r>
      <w:r w:rsidR="00AE46FB">
        <w:rPr>
          <w:rFonts w:ascii="Times New Roman" w:hAnsi="Times New Roman" w:cs="B Nazanin" w:hint="cs"/>
          <w:sz w:val="20"/>
          <w:rtl/>
          <w:lang w:val="en-GB"/>
        </w:rPr>
        <w:t>.</w:t>
      </w:r>
    </w:p>
    <w:p w14:paraId="37298874" w14:textId="01B57B2D" w:rsidR="00DF39AA" w:rsidRDefault="00DF39AA" w:rsidP="0081613D">
      <w:pPr>
        <w:bidi/>
        <w:spacing w:after="0" w:line="276" w:lineRule="auto"/>
        <w:jc w:val="both"/>
        <w:rPr>
          <w:rFonts w:ascii="Times New Roman" w:hAnsi="Times New Roman" w:cs="B Nazanin"/>
          <w:b/>
          <w:bCs/>
          <w:sz w:val="20"/>
          <w:rtl/>
          <w:lang w:val="en-GB"/>
        </w:rPr>
      </w:pPr>
    </w:p>
    <w:p w14:paraId="72C12EFA" w14:textId="2142593E" w:rsidR="00DF39AA" w:rsidRPr="00DF39AA" w:rsidRDefault="00254DAB" w:rsidP="0081613D">
      <w:pPr>
        <w:bidi/>
        <w:spacing w:after="0" w:line="276" w:lineRule="auto"/>
        <w:jc w:val="both"/>
        <w:rPr>
          <w:rFonts w:ascii="Times New Roman" w:hAnsi="Times New Roman" w:cs="B Nazanin"/>
          <w:sz w:val="20"/>
          <w:lang w:val="en-GB"/>
        </w:rPr>
      </w:pPr>
      <w:r>
        <w:rPr>
          <w:rFonts w:ascii="Times New Roman" w:hAnsi="Times New Roman" w:cs="B Nazanin" w:hint="cs"/>
          <w:b/>
          <w:bCs/>
          <w:sz w:val="20"/>
          <w:rtl/>
          <w:lang w:val="en-GB" w:bidi="ar-SA"/>
        </w:rPr>
        <w:t>3-</w:t>
      </w:r>
      <w:r w:rsidR="00DF39AA" w:rsidRPr="00DF39AA">
        <w:rPr>
          <w:rFonts w:ascii="Times New Roman" w:hAnsi="Times New Roman" w:cs="B Nazanin"/>
          <w:b/>
          <w:bCs/>
          <w:sz w:val="20"/>
          <w:rtl/>
          <w:lang w:val="en-GB" w:bidi="ar-SA"/>
        </w:rPr>
        <w:t xml:space="preserve"> فرآیند داوری و اجرای آراء در ایکسید</w:t>
      </w:r>
      <w:r w:rsidR="00DF39AA" w:rsidRPr="00DF39AA">
        <w:rPr>
          <w:rFonts w:ascii="Times New Roman" w:hAnsi="Times New Roman" w:cs="B Nazanin"/>
          <w:b/>
          <w:bCs/>
          <w:sz w:val="20"/>
          <w:lang w:val="en-GB"/>
        </w:rPr>
        <w:t xml:space="preserve"> (ICSID) </w:t>
      </w:r>
      <w:r w:rsidR="00DF39AA" w:rsidRPr="00DF39AA">
        <w:rPr>
          <w:rFonts w:ascii="Times New Roman" w:hAnsi="Times New Roman" w:cs="B Nazanin"/>
          <w:b/>
          <w:bCs/>
          <w:sz w:val="20"/>
          <w:rtl/>
          <w:lang w:val="en-GB" w:bidi="ar-SA"/>
        </w:rPr>
        <w:t xml:space="preserve">پس از اصلاحات </w:t>
      </w:r>
      <w:r w:rsidR="00DF39AA" w:rsidRPr="00DF39AA">
        <w:rPr>
          <w:rFonts w:ascii="Times New Roman" w:hAnsi="Times New Roman" w:cs="B Nazanin"/>
          <w:b/>
          <w:bCs/>
          <w:sz w:val="20"/>
          <w:rtl/>
          <w:lang w:val="en-GB"/>
        </w:rPr>
        <w:t>۲۰۲۲</w:t>
      </w:r>
      <w:r w:rsidR="00DF39AA">
        <w:rPr>
          <w:rFonts w:ascii="Times New Roman" w:hAnsi="Times New Roman" w:cs="B Nazanin" w:hint="cs"/>
          <w:b/>
          <w:bCs/>
          <w:sz w:val="20"/>
          <w:rtl/>
          <w:lang w:val="en-GB"/>
        </w:rPr>
        <w:t xml:space="preserve"> </w:t>
      </w:r>
    </w:p>
    <w:p w14:paraId="7834211B" w14:textId="2DE2E7E6"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فرآیند داوری در ایکسید همواره یکی از مزیت‌های ساختاری این نظام تلقی شده است؛ زیرا کنوانسیون واشنگتن، داوری سرمایه‌گذاری را در قالب یک رژیم «خودبسنده» طراحی کرده که در آن، نقش محاکم ملی در رسیدگی ماهوی و کنترل رأی به حداقل می‌رسد</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Schreuer</w:t>
      </w:r>
      <w:proofErr w:type="spellEnd"/>
      <w:r w:rsidRPr="00DF39AA">
        <w:rPr>
          <w:rFonts w:ascii="Times New Roman" w:hAnsi="Times New Roman" w:cs="B Nazanin"/>
          <w:sz w:val="20"/>
          <w:lang w:val="en-GB"/>
        </w:rPr>
        <w:t xml:space="preserve">, 2009). </w:t>
      </w:r>
      <w:r w:rsidRPr="00DF39AA">
        <w:rPr>
          <w:rFonts w:ascii="Times New Roman" w:hAnsi="Times New Roman" w:cs="B Nazanin"/>
          <w:sz w:val="20"/>
          <w:rtl/>
          <w:lang w:val="en-GB" w:bidi="ar-SA"/>
        </w:rPr>
        <w:t xml:space="preserve">با این حال، همین ویژگی که در نگاه نخست ضامن کارآمدی و بی‌طرفی تلقی می‌شود، در عمل به یکی از کانون‌های بحران مشروعیت تبدیل شده است؛ زیرا داوری سرمایه‌گذاری در مواردی با تصمیمات کلان سیاست </w:t>
      </w:r>
      <w:r w:rsidRPr="00DF39AA">
        <w:rPr>
          <w:rFonts w:ascii="Times New Roman" w:hAnsi="Times New Roman" w:cs="B Nazanin"/>
          <w:sz w:val="20"/>
          <w:rtl/>
          <w:lang w:val="en-GB" w:bidi="ar-SA"/>
        </w:rPr>
        <w:lastRenderedPageBreak/>
        <w:t>عمومی دولت‌ها تلاقی پیدا می‌کند، اما فرآیند رسیدگی آن از منظر شفافیت، پاسخ‌گویی و کنترل‌پذیری نهادی، در سطحی پایین‌تر از انتظار عمومی باقی می‌ماند</w:t>
      </w:r>
      <w:r w:rsidRPr="00DF39AA">
        <w:rPr>
          <w:rFonts w:ascii="Times New Roman" w:hAnsi="Times New Roman" w:cs="B Nazanin"/>
          <w:sz w:val="20"/>
          <w:lang w:val="en-GB"/>
        </w:rPr>
        <w:t xml:space="preserve"> </w:t>
      </w:r>
      <w:r w:rsidR="00AE46FB">
        <w:rPr>
          <w:rFonts w:ascii="Times New Roman" w:hAnsi="Times New Roman" w:cs="B Nazanin" w:hint="cs"/>
          <w:sz w:val="20"/>
          <w:rtl/>
          <w:lang w:val="en-GB"/>
        </w:rPr>
        <w:t>.</w:t>
      </w:r>
    </w:p>
    <w:p w14:paraId="02E7056B" w14:textId="7777777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ایکسید در پاسخ به همین چالش شکل گرفته‌اند. اگرچه بخش مهمی از این اصلاحات در ظاهر «فرایندی» است، اما اهمیت واقعی آن‌ها زمانی آشکار می‌شود که فرآیند داوری به‌عنوان یک سازوکار «تولید مشروعیت» تحلیل شود، نه صرفاً یک مسیر فنی برای صدور رأی. در این چارچوب، تحول اصلی در داوری ایکسید پس از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را می‌توان در سه محور بررسی کرد: (</w:t>
      </w:r>
      <w:r w:rsidRPr="00DF39AA">
        <w:rPr>
          <w:rFonts w:ascii="Times New Roman" w:hAnsi="Times New Roman" w:cs="B Nazanin"/>
          <w:sz w:val="20"/>
          <w:rtl/>
          <w:lang w:val="en-GB"/>
        </w:rPr>
        <w:t xml:space="preserve">۱) </w:t>
      </w:r>
      <w:r w:rsidRPr="00DF39AA">
        <w:rPr>
          <w:rFonts w:ascii="Times New Roman" w:hAnsi="Times New Roman" w:cs="B Nazanin"/>
          <w:sz w:val="20"/>
          <w:rtl/>
          <w:lang w:val="en-GB" w:bidi="ar-SA"/>
        </w:rPr>
        <w:t>تحول در شفافیت و دسترسی عمومی به فرآیند، (</w:t>
      </w:r>
      <w:r w:rsidRPr="00DF39AA">
        <w:rPr>
          <w:rFonts w:ascii="Times New Roman" w:hAnsi="Times New Roman" w:cs="B Nazanin"/>
          <w:sz w:val="20"/>
          <w:rtl/>
          <w:lang w:val="en-GB"/>
        </w:rPr>
        <w:t xml:space="preserve">۲) </w:t>
      </w:r>
      <w:r w:rsidRPr="00DF39AA">
        <w:rPr>
          <w:rFonts w:ascii="Times New Roman" w:hAnsi="Times New Roman" w:cs="B Nazanin"/>
          <w:sz w:val="20"/>
          <w:rtl/>
          <w:lang w:val="en-GB" w:bidi="ar-SA"/>
        </w:rPr>
        <w:t>تحول در مدیریت زمان و هزینه به‌عنوان عنصر کارآمدی نهادی، و (</w:t>
      </w:r>
      <w:r w:rsidRPr="00DF39AA">
        <w:rPr>
          <w:rFonts w:ascii="Times New Roman" w:hAnsi="Times New Roman" w:cs="B Nazanin"/>
          <w:sz w:val="20"/>
          <w:rtl/>
          <w:lang w:val="en-GB"/>
        </w:rPr>
        <w:t xml:space="preserve">۳) </w:t>
      </w:r>
      <w:r w:rsidRPr="00DF39AA">
        <w:rPr>
          <w:rFonts w:ascii="Times New Roman" w:hAnsi="Times New Roman" w:cs="B Nazanin"/>
          <w:sz w:val="20"/>
          <w:rtl/>
          <w:lang w:val="en-GB" w:bidi="ar-SA"/>
        </w:rPr>
        <w:t>تحول در نسبت میان نهایی‌بودن رأی و سازوکارهای کنترل درون‌نظامی، به‌ویژه ابطال و اجرای رأی</w:t>
      </w:r>
      <w:r w:rsidRPr="00DF39AA">
        <w:rPr>
          <w:rFonts w:ascii="Times New Roman" w:hAnsi="Times New Roman" w:cs="B Nazanin"/>
          <w:sz w:val="20"/>
          <w:lang w:val="en-GB"/>
        </w:rPr>
        <w:t xml:space="preserve"> (ICSID Arbitration Rules, 2022; ICSID Secretariat, 2022).</w:t>
      </w:r>
    </w:p>
    <w:p w14:paraId="49EDDC5A" w14:textId="518FB2C8"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۳</w:t>
      </w:r>
      <w:r w:rsidRPr="00DF39AA">
        <w:rPr>
          <w:rFonts w:ascii="Times New Roman" w:hAnsi="Times New Roman" w:cs="B Nazanin"/>
          <w:sz w:val="20"/>
          <w:lang w:val="en-GB"/>
        </w:rPr>
        <w:t>–</w:t>
      </w:r>
      <w:r w:rsidRPr="00DF39AA">
        <w:rPr>
          <w:rFonts w:ascii="Times New Roman" w:hAnsi="Times New Roman" w:cs="B Nazanin"/>
          <w:sz w:val="20"/>
          <w:rtl/>
          <w:lang w:val="en-GB"/>
        </w:rPr>
        <w:t>۱</w:t>
      </w:r>
      <w:r w:rsidR="009B0DF4">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شفافیت رویه‌ای: عبور تدریجی از محرمانگی به «پاسخ‌گویی عمومی</w:t>
      </w:r>
      <w:r w:rsidR="00352F94">
        <w:rPr>
          <w:rFonts w:ascii="Times New Roman" w:hAnsi="Times New Roman" w:cs="B Nazanin" w:hint="cs"/>
          <w:sz w:val="20"/>
          <w:rtl/>
          <w:lang w:val="en-GB"/>
        </w:rPr>
        <w:t>»</w:t>
      </w:r>
    </w:p>
    <w:p w14:paraId="452B37E5" w14:textId="00C1B44D"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یکی از بنیادی‌ترین انتقادها نسبت به داوری سرمایه‌گذاری، ماهیت غیرعلنی و محرمانه رسیدگی‌ها در بخش قابل توجهی از پرونده‌ها بوده است. این محرمانگی، به‌ویژه در دعاوی مرتبط با مقررات عمومی، باعث شده داوری سرمایه‌گذاری از منظر مشروعیت دموکراتیک در معرض تردید قرار گیرد؛ زیرا اختلافاتی که اثر مستقیم بر سیاست عمومی، بودجه عمومی و حقوق شهروندان دارند، در فرآیندی کم‌دسترسی و غیرشفاف حل‌وفصل می‌شوند</w:t>
      </w:r>
      <w:r w:rsidRPr="00DF39AA">
        <w:rPr>
          <w:rFonts w:ascii="Times New Roman" w:hAnsi="Times New Roman" w:cs="B Nazanin"/>
          <w:sz w:val="20"/>
          <w:lang w:val="en-GB"/>
        </w:rPr>
        <w:t xml:space="preserve"> </w:t>
      </w:r>
      <w:r w:rsidR="00AE46FB">
        <w:rPr>
          <w:rFonts w:ascii="Times New Roman" w:hAnsi="Times New Roman" w:cs="B Nazanin" w:hint="cs"/>
          <w:sz w:val="20"/>
          <w:rtl/>
          <w:lang w:val="en-GB"/>
        </w:rPr>
        <w:t xml:space="preserve">. </w:t>
      </w:r>
      <w:r w:rsidRPr="00DF39AA">
        <w:rPr>
          <w:rFonts w:ascii="Times New Roman" w:hAnsi="Times New Roman" w:cs="B Nazanin"/>
          <w:sz w:val="20"/>
          <w:rtl/>
          <w:lang w:val="en-GB" w:bidi="ar-SA"/>
        </w:rPr>
        <w:t>همین مسئله موجب شد شفافیت نه یک موضوع جانبی، بلکه بخشی از «معیار مشروعیت» در داوری سرمایه‌گذاری تلقی گردد</w:t>
      </w:r>
      <w:r w:rsidRPr="00DF39AA">
        <w:rPr>
          <w:rFonts w:ascii="Times New Roman" w:hAnsi="Times New Roman" w:cs="B Nazanin"/>
          <w:sz w:val="20"/>
          <w:lang w:val="en-GB"/>
        </w:rPr>
        <w:t>.</w:t>
      </w:r>
    </w:p>
    <w:p w14:paraId="260C25CF" w14:textId="7777777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با تقویت قواعد مربوط به انتشار اسناد و آراء، مشارکت اشخاص ثالث و تسهیل دسترسی عمومی به اطلاعات پرونده، این وضعیت را به سمت پاسخ‌گویی بیشتر سوق داده‌اند</w:t>
      </w:r>
      <w:r w:rsidRPr="00DF39AA">
        <w:rPr>
          <w:rFonts w:ascii="Times New Roman" w:hAnsi="Times New Roman" w:cs="B Nazanin"/>
          <w:sz w:val="20"/>
          <w:lang w:val="en-GB"/>
        </w:rPr>
        <w:t xml:space="preserve"> (ICSID Arbitration Rules, 2022). </w:t>
      </w:r>
      <w:r w:rsidRPr="00DF39AA">
        <w:rPr>
          <w:rFonts w:ascii="Times New Roman" w:hAnsi="Times New Roman" w:cs="B Nazanin"/>
          <w:sz w:val="20"/>
          <w:rtl/>
          <w:lang w:val="en-GB" w:bidi="ar-SA"/>
        </w:rPr>
        <w:t>اهمیت این تحول در آن است که شفافیت دیگر صرفاً یک انتخاب سیاسی طرفین نیست، بلکه به تدریج به یک انتظار نهادی از فرآیند داوری تبدیل می‌شود؛ انتظاری که به ویژه در پرونده‌های مرتبط با سلامت، محیط زیست و سیاست‌گذاری عمومی اهمیت مضاعف دارد</w:t>
      </w:r>
      <w:r w:rsidRPr="00DF39AA">
        <w:rPr>
          <w:rFonts w:ascii="Times New Roman" w:hAnsi="Times New Roman" w:cs="B Nazanin"/>
          <w:sz w:val="20"/>
          <w:lang w:val="en-GB"/>
        </w:rPr>
        <w:t xml:space="preserve"> (UNCITRAL, 2013).</w:t>
      </w:r>
    </w:p>
    <w:p w14:paraId="3B1332F7" w14:textId="6545BC2D" w:rsidR="00DF39AA" w:rsidRPr="00DF39AA" w:rsidRDefault="00DF39AA" w:rsidP="00DD02C8">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از منظر تحولی، رأی</w:t>
      </w:r>
      <w:r w:rsidRPr="00DF39AA">
        <w:rPr>
          <w:rFonts w:ascii="Times New Roman" w:hAnsi="Times New Roman" w:cs="B Nazanin"/>
          <w:sz w:val="20"/>
          <w:lang w:val="en-GB"/>
        </w:rPr>
        <w:t xml:space="preserve"> </w:t>
      </w:r>
      <w:r w:rsidR="00DD02C8" w:rsidRPr="00DD02C8">
        <w:rPr>
          <w:rFonts w:ascii="Times New Roman" w:hAnsi="Times New Roman" w:cs="B Nazanin"/>
          <w:sz w:val="20"/>
          <w:rtl/>
          <w:lang w:val="en-GB"/>
        </w:rPr>
        <w:t xml:space="preserve">فیلیپ موریس </w:t>
      </w:r>
      <w:r w:rsidRPr="00DF39AA">
        <w:rPr>
          <w:rFonts w:ascii="Times New Roman" w:hAnsi="Times New Roman" w:cs="B Nazanin"/>
          <w:sz w:val="20"/>
          <w:rtl/>
          <w:lang w:val="en-GB" w:bidi="ar-SA"/>
        </w:rPr>
        <w:t>نمونه‌ای است که نشان می‌دهد «موضوع اختلاف» چگونه می‌تواند شفافیت را به یک ضرورت مشروعیتی تبدیل کند. در این پرونده، داوری با مقررات سلامت عمومی پیوند خورده بود و همین پیوند، به طور ضمنی اهمیت شفافیت و پاسخ‌گویی را برجسته می‌کرد</w:t>
      </w:r>
      <w:r w:rsidRPr="00DF39AA">
        <w:rPr>
          <w:rFonts w:ascii="Times New Roman" w:hAnsi="Times New Roman" w:cs="B Nazanin"/>
          <w:sz w:val="20"/>
          <w:lang w:val="en-GB"/>
        </w:rPr>
        <w:t xml:space="preserve"> (Philip Morris v. Uruguay, 2016, paras. 295–302). </w:t>
      </w:r>
      <w:r w:rsidRPr="00DF39AA">
        <w:rPr>
          <w:rFonts w:ascii="Times New Roman" w:hAnsi="Times New Roman" w:cs="B Nazanin"/>
          <w:sz w:val="20"/>
          <w:rtl/>
          <w:lang w:val="en-GB" w:bidi="ar-SA"/>
        </w:rPr>
        <w:t xml:space="preserve">بنابراین،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را می‌توان به‌مثابه واکنشی نهادی به این واقعیت تحلیل کرد که داوری سرمایه‌گذاری دیگر صرفاً اختلاف خصوصی نیست، بلکه در بسیاری موارد دارای آثار عمومی است</w:t>
      </w:r>
      <w:r w:rsidRPr="00DF39AA">
        <w:rPr>
          <w:rFonts w:ascii="Times New Roman" w:hAnsi="Times New Roman" w:cs="B Nazanin"/>
          <w:sz w:val="20"/>
          <w:lang w:val="en-GB"/>
        </w:rPr>
        <w:t>.</w:t>
      </w:r>
    </w:p>
    <w:p w14:paraId="40D34926" w14:textId="6BFA13B9"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۳</w:t>
      </w:r>
      <w:r w:rsidRPr="00DF39AA">
        <w:rPr>
          <w:rFonts w:ascii="Times New Roman" w:hAnsi="Times New Roman" w:cs="B Nazanin"/>
          <w:sz w:val="20"/>
          <w:lang w:val="en-GB"/>
        </w:rPr>
        <w:t>–</w:t>
      </w:r>
      <w:r w:rsidRPr="00DF39AA">
        <w:rPr>
          <w:rFonts w:ascii="Times New Roman" w:hAnsi="Times New Roman" w:cs="B Nazanin"/>
          <w:sz w:val="20"/>
          <w:rtl/>
          <w:lang w:val="en-GB"/>
        </w:rPr>
        <w:t>۲</w:t>
      </w:r>
      <w:r w:rsidR="009B0DF4">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مدیریت زمان و هزینه: کارآمدی به‌مثابه عنصر مشروعیت</w:t>
      </w:r>
    </w:p>
    <w:p w14:paraId="04AA0D20" w14:textId="47D06A06"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هزینه‌های سنگین داوری سرمایه‌گذاری و طولانی‌شدن رسیدگی‌ها از جمله عوامل اصلی انتقاد از ایکسید بوده‌اند؛ زیرا فرآیندی که باید تضمین‌کننده عدالت و قطعیت باشد، در عمل می‌تواند به ابزاری برای فرسایش منابع دولت‌ها و افزایش ریسک سیاست‌گذاری عمومی تبدیل شو</w:t>
      </w:r>
      <w:r w:rsidR="00AE46FB">
        <w:rPr>
          <w:rFonts w:ascii="Times New Roman" w:hAnsi="Times New Roman" w:cs="B Nazanin" w:hint="cs"/>
          <w:sz w:val="20"/>
          <w:rtl/>
          <w:lang w:val="en-GB" w:bidi="ar-SA"/>
        </w:rPr>
        <w:t>د.</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به بیان دقیق‌تر، «کارآمدی» در داوری سرمایه‌گذاری صرفاً یک مسئله اداری نیست؛ بلکه به‌طور مستقیم با مشروعیت نظام پیوند دارد، زیرا تأخیرهای طولانی و هزینه‌های غیرقابل پیش‌بینی، توازن واقعی میان طرفین را مخدوش می‌کند</w:t>
      </w:r>
      <w:r w:rsidRPr="00DF39AA">
        <w:rPr>
          <w:rFonts w:ascii="Times New Roman" w:hAnsi="Times New Roman" w:cs="B Nazanin"/>
          <w:sz w:val="20"/>
          <w:lang w:val="en-GB"/>
        </w:rPr>
        <w:t xml:space="preserve"> </w:t>
      </w:r>
      <w:r w:rsidR="00572DF8">
        <w:rPr>
          <w:rFonts w:ascii="Times New Roman" w:hAnsi="Times New Roman" w:cs="B Nazanin" w:hint="cs"/>
          <w:sz w:val="20"/>
          <w:rtl/>
          <w:lang w:val="en-GB"/>
        </w:rPr>
        <w:t>.</w:t>
      </w:r>
    </w:p>
    <w:p w14:paraId="0AC641B2" w14:textId="7777777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با طراحی ابزارهایی برای مدیریت مقدماتی پرونده، زمان‌بندی‌های منظم‌تر و تقویت اختیارات هیئت داوری در کنترل روند رسیدگی، تلاش کرده‌اند کارآمدی را افزایش دهند</w:t>
      </w:r>
      <w:r w:rsidRPr="00DF39AA">
        <w:rPr>
          <w:rFonts w:ascii="Times New Roman" w:hAnsi="Times New Roman" w:cs="B Nazanin"/>
          <w:sz w:val="20"/>
          <w:lang w:val="en-GB"/>
        </w:rPr>
        <w:t xml:space="preserve"> (ICSID Arbitration Rules, 2022). </w:t>
      </w:r>
      <w:r w:rsidRPr="00DF39AA">
        <w:rPr>
          <w:rFonts w:ascii="Times New Roman" w:hAnsi="Times New Roman" w:cs="B Nazanin"/>
          <w:sz w:val="20"/>
          <w:rtl/>
          <w:lang w:val="en-GB" w:bidi="ar-SA"/>
        </w:rPr>
        <w:t xml:space="preserve">این اصلاحات را باید در </w:t>
      </w:r>
      <w:r w:rsidRPr="00DF39AA">
        <w:rPr>
          <w:rFonts w:ascii="Times New Roman" w:hAnsi="Times New Roman" w:cs="B Nazanin"/>
          <w:sz w:val="20"/>
          <w:rtl/>
          <w:lang w:val="en-GB" w:bidi="ar-SA"/>
        </w:rPr>
        <w:lastRenderedPageBreak/>
        <w:t>پرتو این واقعیت فهم کرد که در دعاوی سرمایه‌گذاری، هزینه و زمان صرفاً هزینه دادرسی نیست، بلکه می‌تواند بر توان دولت برای اجرای سیاست عمومی اثر بگذارد؛ به‌ویژه زمانی که دولت‌ها با دعاوی چندمیلیارد دلاری مواجه می‌شوند</w:t>
      </w:r>
      <w:r w:rsidRPr="00DF39AA">
        <w:rPr>
          <w:rFonts w:ascii="Times New Roman" w:hAnsi="Times New Roman" w:cs="B Nazanin"/>
          <w:sz w:val="20"/>
          <w:lang w:val="en-GB"/>
        </w:rPr>
        <w:t>.</w:t>
      </w:r>
    </w:p>
    <w:p w14:paraId="72D2FE90" w14:textId="1E6B4C89" w:rsidR="00DF39AA" w:rsidRPr="00DF39AA" w:rsidRDefault="00DF39AA" w:rsidP="00AE46FB">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پرونده</w:t>
      </w:r>
      <w:r w:rsidRPr="00DF39AA">
        <w:rPr>
          <w:rFonts w:ascii="Times New Roman" w:hAnsi="Times New Roman" w:cs="B Nazanin"/>
          <w:sz w:val="20"/>
          <w:lang w:val="en-GB"/>
        </w:rPr>
        <w:t xml:space="preserve"> </w:t>
      </w:r>
      <w:r w:rsidR="00AE46FB" w:rsidRPr="00AE46FB">
        <w:rPr>
          <w:rFonts w:ascii="Times New Roman" w:hAnsi="Times New Roman" w:cs="B Nazanin"/>
          <w:sz w:val="20"/>
          <w:rtl/>
          <w:lang w:val="en-GB"/>
        </w:rPr>
        <w:t>تِثیان کاپر علیه پاکستان</w:t>
      </w:r>
      <w:r w:rsidR="00AE46FB">
        <w:rPr>
          <w:rFonts w:ascii="Times New Roman" w:hAnsi="Times New Roman" w:cs="B Nazanin" w:hint="cs"/>
          <w:sz w:val="20"/>
          <w:rtl/>
          <w:lang w:val="en-GB"/>
        </w:rPr>
        <w:t xml:space="preserve"> </w:t>
      </w:r>
      <w:r w:rsidRPr="00DF39AA">
        <w:rPr>
          <w:rFonts w:ascii="Times New Roman" w:hAnsi="Times New Roman" w:cs="B Nazanin"/>
          <w:sz w:val="20"/>
          <w:rtl/>
          <w:lang w:val="en-GB" w:bidi="ar-SA"/>
        </w:rPr>
        <w:t>نمونه‌ای است که نشان می‌دهد چگونه هزینه‌های عظیم و پیامدهای اقتصادی می‌تواند داوری سرمایه‌گذاری را از سطح اختلاف حقوقی فراتر ببرد و به مسئله‌ای در سطح حکمرانی و ثبات اقتصادی تبدیل کند</w:t>
      </w:r>
      <w:r w:rsidRPr="00DF39AA">
        <w:rPr>
          <w:rFonts w:ascii="Times New Roman" w:hAnsi="Times New Roman" w:cs="B Nazanin"/>
          <w:sz w:val="20"/>
          <w:lang w:val="en-GB"/>
        </w:rPr>
        <w:t xml:space="preserve"> (Tethyan Copper v. Pakistan, 2019). </w:t>
      </w:r>
      <w:r w:rsidR="00AE46FB">
        <w:rPr>
          <w:rFonts w:ascii="Times New Roman" w:hAnsi="Times New Roman" w:cs="B Nazanin" w:hint="cs"/>
          <w:sz w:val="20"/>
          <w:rtl/>
          <w:lang w:val="en-GB"/>
        </w:rPr>
        <w:t xml:space="preserve"> </w:t>
      </w:r>
      <w:r w:rsidRPr="00DF39AA">
        <w:rPr>
          <w:rFonts w:ascii="Times New Roman" w:hAnsi="Times New Roman" w:cs="B Nazanin"/>
          <w:sz w:val="20"/>
          <w:rtl/>
          <w:lang w:val="en-GB" w:bidi="ar-SA"/>
        </w:rPr>
        <w:t>اهمیت این پرونده در تحلیل فرآیند آن است که نشان می‌دهد مدیریت پرونده و امکان استفاده از سازوکارهای مکمل حل اختلاف، مانند سازش یا میانجی‌گری، می‌تواند در عمل برای دولت‌ها حیاتی باشد؛ زیرا صدور رأی سنگین، لزوماً پایان اختلاف نیست و گاه آغاز بحران اجرای رأی است</w:t>
      </w:r>
      <w:r w:rsidRPr="00DF39AA">
        <w:rPr>
          <w:rFonts w:ascii="Times New Roman" w:hAnsi="Times New Roman" w:cs="B Nazanin"/>
          <w:sz w:val="20"/>
          <w:lang w:val="en-GB"/>
        </w:rPr>
        <w:t xml:space="preserve"> (ICSID Secretariat, 2022).</w:t>
      </w:r>
    </w:p>
    <w:p w14:paraId="0376BE24" w14:textId="18CEED1E"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۳</w:t>
      </w:r>
      <w:r w:rsidRPr="00DF39AA">
        <w:rPr>
          <w:rFonts w:ascii="Times New Roman" w:hAnsi="Times New Roman" w:cs="B Nazanin"/>
          <w:sz w:val="20"/>
          <w:lang w:val="en-GB"/>
        </w:rPr>
        <w:t>–</w:t>
      </w:r>
      <w:r w:rsidRPr="00DF39AA">
        <w:rPr>
          <w:rFonts w:ascii="Times New Roman" w:hAnsi="Times New Roman" w:cs="B Nazanin"/>
          <w:sz w:val="20"/>
          <w:rtl/>
          <w:lang w:val="en-GB"/>
        </w:rPr>
        <w:t>۳</w:t>
      </w:r>
      <w:r w:rsidR="009B0DF4">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مشارکت اشخاص ثالث و «عمومی‌شدن» فرآیند داوری</w:t>
      </w:r>
    </w:p>
    <w:p w14:paraId="7D692106" w14:textId="7E2A3202"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یکی از تحولات مهم در فرآیند داوری سرمایه‌گذاری، افزایش نقش اشخاص ثالث</w:t>
      </w:r>
      <w:r w:rsidR="00AE46FB">
        <w:rPr>
          <w:rStyle w:val="FootnoteReference"/>
          <w:rFonts w:ascii="Times New Roman" w:hAnsi="Times New Roman" w:cs="B Nazanin"/>
          <w:sz w:val="20"/>
          <w:rtl/>
          <w:lang w:val="en-GB" w:bidi="ar-SA"/>
        </w:rPr>
        <w:footnoteReference w:id="5"/>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و نهادهای عمومی در پرونده‌هایی است که آثار اجتماعی گسترده دارند. این تحول، از نظر مفهومی به معنای آن است که داوری سرمایه‌گذاری دیگر صرفاً عرصه تعامل دو طرف خصوصی/دولتی نیست، بلکه به فضایی تبدیل شده که در آن منافع عمومی نیز باید امکان ظهور پیدا کند</w:t>
      </w:r>
      <w:r w:rsidRPr="00DF39AA">
        <w:rPr>
          <w:rFonts w:ascii="Times New Roman" w:hAnsi="Times New Roman" w:cs="B Nazanin"/>
          <w:sz w:val="20"/>
          <w:lang w:val="en-GB"/>
        </w:rPr>
        <w:t xml:space="preserve"> (UNCITRAL, 2013).</w:t>
      </w:r>
    </w:p>
    <w:p w14:paraId="4524DAFD" w14:textId="25E8BAA9"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با تقویت امکان مشارکت اشخاص ثالث و نهادینه‌سازی تدابیر شفافیت، این روند را تقویت کرده‌اند</w:t>
      </w:r>
      <w:r w:rsidRPr="00DF39AA">
        <w:rPr>
          <w:rFonts w:ascii="Times New Roman" w:hAnsi="Times New Roman" w:cs="B Nazanin"/>
          <w:sz w:val="20"/>
          <w:lang w:val="en-GB"/>
        </w:rPr>
        <w:t xml:space="preserve"> (ICSID Arbitration Rules, 2022). </w:t>
      </w:r>
      <w:r w:rsidR="00AE46FB">
        <w:rPr>
          <w:rFonts w:ascii="Times New Roman" w:hAnsi="Times New Roman" w:cs="B Nazanin" w:hint="cs"/>
          <w:sz w:val="20"/>
          <w:rtl/>
          <w:lang w:val="en-GB"/>
        </w:rPr>
        <w:t xml:space="preserve"> </w:t>
      </w:r>
      <w:r w:rsidRPr="00DF39AA">
        <w:rPr>
          <w:rFonts w:ascii="Times New Roman" w:hAnsi="Times New Roman" w:cs="B Nazanin"/>
          <w:sz w:val="20"/>
          <w:rtl/>
          <w:lang w:val="en-GB" w:bidi="ar-SA"/>
        </w:rPr>
        <w:t>اثر این تحول در سطح مشروعیت، ایجاد پیوند میان داوری سرمایه‌گذاری و منطق پاسخ‌گویی عمومی است؛ به این معنا که فرآیند رسیدگی باید بتواند نشان دهد تصمیم نهایی نه در خلأ، بلکه با لحاظ پیامدهای عمومی اتخاذ شده است</w:t>
      </w:r>
      <w:r w:rsidRPr="00DF39AA">
        <w:rPr>
          <w:rFonts w:ascii="Times New Roman" w:hAnsi="Times New Roman" w:cs="B Nazanin"/>
          <w:sz w:val="20"/>
          <w:lang w:val="en-GB"/>
        </w:rPr>
        <w:t xml:space="preserve"> .</w:t>
      </w:r>
    </w:p>
    <w:p w14:paraId="2CFCFAF0" w14:textId="133F90A2"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۳</w:t>
      </w:r>
      <w:r w:rsidRPr="00DF39AA">
        <w:rPr>
          <w:rFonts w:ascii="Times New Roman" w:hAnsi="Times New Roman" w:cs="B Nazanin"/>
          <w:sz w:val="20"/>
          <w:lang w:val="en-GB"/>
        </w:rPr>
        <w:t>–</w:t>
      </w:r>
      <w:r w:rsidRPr="00DF39AA">
        <w:rPr>
          <w:rFonts w:ascii="Times New Roman" w:hAnsi="Times New Roman" w:cs="B Nazanin"/>
          <w:sz w:val="20"/>
          <w:rtl/>
          <w:lang w:val="en-GB"/>
        </w:rPr>
        <w:t>۴</w:t>
      </w:r>
      <w:r w:rsidR="009B0DF4">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نهایی‌بودن رأی و کنترل درون‌نظامی: محدودیت‌های ابطال و استمرار بحران مشروعیت</w:t>
      </w:r>
    </w:p>
    <w:p w14:paraId="00338FB3" w14:textId="218040E6"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یکی از ویژگی‌های ساختاری ایکسید، نهایی‌بودن رأی و عدم امکان تجدیدنظر ماهوی در محاکم داخلی است. کنوانسیون واشنگتن، کنترل رأی را به سازوکار محدود ابطال در ماده </w:t>
      </w:r>
      <w:r w:rsidRPr="00DF39AA">
        <w:rPr>
          <w:rFonts w:ascii="Times New Roman" w:hAnsi="Times New Roman" w:cs="B Nazanin"/>
          <w:sz w:val="20"/>
          <w:rtl/>
          <w:lang w:val="en-GB"/>
        </w:rPr>
        <w:t>۵۲</w:t>
      </w:r>
      <w:r w:rsidRPr="00DF39AA">
        <w:rPr>
          <w:rFonts w:ascii="Times New Roman" w:hAnsi="Times New Roman" w:cs="B Nazanin"/>
          <w:sz w:val="20"/>
          <w:rtl/>
          <w:lang w:val="en-GB" w:bidi="ar-SA"/>
        </w:rPr>
        <w:t xml:space="preserve"> منحصر کرده است</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Schreuer</w:t>
      </w:r>
      <w:proofErr w:type="spellEnd"/>
      <w:r w:rsidRPr="00DF39AA">
        <w:rPr>
          <w:rFonts w:ascii="Times New Roman" w:hAnsi="Times New Roman" w:cs="B Nazanin"/>
          <w:sz w:val="20"/>
          <w:lang w:val="en-GB"/>
        </w:rPr>
        <w:t xml:space="preserve">, 2009). </w:t>
      </w:r>
      <w:r w:rsidRPr="00DF39AA">
        <w:rPr>
          <w:rFonts w:ascii="Times New Roman" w:hAnsi="Times New Roman" w:cs="B Nazanin"/>
          <w:sz w:val="20"/>
          <w:rtl/>
          <w:lang w:val="en-GB" w:bidi="ar-SA"/>
        </w:rPr>
        <w:t>این ساختار از یک سو به قطعیت و قابلیت اجرا کمک می‌کند، اما از سوی دیگر، در پرونده‌هایی که با استانداردهای مبهمی مانند</w:t>
      </w:r>
      <w:r w:rsidRPr="00DF39AA">
        <w:rPr>
          <w:rFonts w:ascii="Times New Roman" w:hAnsi="Times New Roman" w:cs="B Nazanin"/>
          <w:sz w:val="20"/>
          <w:lang w:val="en-GB"/>
        </w:rPr>
        <w:t xml:space="preserve"> </w:t>
      </w:r>
      <w:r w:rsidR="00E00870" w:rsidRPr="00DF39AA">
        <w:rPr>
          <w:rFonts w:ascii="Times New Roman" w:hAnsi="Times New Roman" w:cs="B Nazanin"/>
          <w:sz w:val="20"/>
          <w:rtl/>
          <w:lang w:val="en-GB" w:bidi="ar-SA"/>
        </w:rPr>
        <w:t>رفتار منصفانه و عادلانه</w:t>
      </w:r>
      <w:r w:rsidR="00E00870"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سروکار دارند، می‌تواند بحران مشروعیت ایجاد کند؛ زیرا امکان اصلاح خطاهای ماهوی یا ناهمگونی‌های تفسیری در سطح نهادی فراهم نیست</w:t>
      </w:r>
      <w:r w:rsidRPr="00DF39AA">
        <w:rPr>
          <w:rFonts w:ascii="Times New Roman" w:hAnsi="Times New Roman" w:cs="B Nazanin"/>
          <w:sz w:val="20"/>
          <w:lang w:val="en-GB"/>
        </w:rPr>
        <w:t>.</w:t>
      </w:r>
    </w:p>
    <w:p w14:paraId="551C7694" w14:textId="1C7CC232"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تصمیم ابطال در پرونده</w:t>
      </w:r>
      <w:r w:rsidRPr="00DF39AA">
        <w:rPr>
          <w:rFonts w:ascii="Times New Roman" w:hAnsi="Times New Roman" w:cs="B Nazanin"/>
          <w:sz w:val="20"/>
          <w:lang w:val="en-GB"/>
        </w:rPr>
        <w:t xml:space="preserve"> </w:t>
      </w:r>
      <w:r w:rsidR="00AE46FB" w:rsidRPr="00AE46FB">
        <w:rPr>
          <w:rFonts w:ascii="Times New Roman" w:hAnsi="Times New Roman" w:cs="B Nazanin" w:hint="cs"/>
          <w:sz w:val="20"/>
          <w:rtl/>
          <w:lang w:val="en-GB"/>
        </w:rPr>
        <w:t>ویوندی</w:t>
      </w:r>
      <w:r w:rsidR="00AE46FB" w:rsidRPr="00AE46FB">
        <w:rPr>
          <w:rFonts w:ascii="Times New Roman" w:hAnsi="Times New Roman" w:cs="B Nazanin"/>
          <w:sz w:val="20"/>
          <w:rtl/>
          <w:lang w:val="en-GB"/>
        </w:rPr>
        <w:t xml:space="preserve"> </w:t>
      </w:r>
      <w:r w:rsidR="00AE46FB" w:rsidRPr="00AE46FB">
        <w:rPr>
          <w:rFonts w:ascii="Times New Roman" w:hAnsi="Times New Roman" w:cs="B Nazanin" w:hint="cs"/>
          <w:sz w:val="20"/>
          <w:rtl/>
          <w:lang w:val="en-GB"/>
        </w:rPr>
        <w:t>علیه</w:t>
      </w:r>
      <w:r w:rsidR="00AE46FB" w:rsidRPr="00AE46FB">
        <w:rPr>
          <w:rFonts w:ascii="Times New Roman" w:hAnsi="Times New Roman" w:cs="B Nazanin"/>
          <w:sz w:val="20"/>
          <w:rtl/>
          <w:lang w:val="en-GB"/>
        </w:rPr>
        <w:t xml:space="preserve"> </w:t>
      </w:r>
      <w:r w:rsidR="00AE46FB" w:rsidRPr="00AE46FB">
        <w:rPr>
          <w:rFonts w:ascii="Times New Roman" w:hAnsi="Times New Roman" w:cs="B Nazanin" w:hint="cs"/>
          <w:sz w:val="20"/>
          <w:rtl/>
          <w:lang w:val="en-GB"/>
        </w:rPr>
        <w:t>آرژانتین</w:t>
      </w:r>
      <w:r w:rsidR="00AE46FB" w:rsidRPr="00AE46FB">
        <w:rPr>
          <w:rFonts w:ascii="Times New Roman" w:hAnsi="Times New Roman" w:cs="B Nazanin"/>
          <w:sz w:val="20"/>
          <w:rtl/>
          <w:lang w:val="en-GB"/>
        </w:rPr>
        <w:t xml:space="preserve"> </w:t>
      </w:r>
      <w:r w:rsidRPr="00DF39AA">
        <w:rPr>
          <w:rFonts w:ascii="Times New Roman" w:hAnsi="Times New Roman" w:cs="B Nazanin"/>
          <w:sz w:val="20"/>
          <w:rtl/>
          <w:lang w:val="en-GB" w:bidi="ar-SA"/>
        </w:rPr>
        <w:t>نمونه‌ای است که نشان می‌دهد سازوکار ابطال می‌تواند در مواردی نقش کنترلی ایفا کند، اما این کنترل عمدتاً محدود به ایرادات شکلی و صلاحیتی است و به معنای بازبینی ماهیت اختلاف نیست</w:t>
      </w:r>
      <w:r w:rsidRPr="00DF39AA">
        <w:rPr>
          <w:rFonts w:ascii="Times New Roman" w:hAnsi="Times New Roman" w:cs="B Nazanin"/>
          <w:sz w:val="20"/>
          <w:lang w:val="en-GB"/>
        </w:rPr>
        <w:t xml:space="preserve"> (Vivendi v. Argentina, 2002). </w:t>
      </w:r>
      <w:r w:rsidR="00AE46FB">
        <w:rPr>
          <w:rFonts w:ascii="Times New Roman" w:hAnsi="Times New Roman" w:cs="B Nazanin" w:hint="cs"/>
          <w:sz w:val="20"/>
          <w:rtl/>
          <w:lang w:val="en-GB"/>
        </w:rPr>
        <w:t xml:space="preserve"> </w:t>
      </w:r>
      <w:r w:rsidRPr="00DF39AA">
        <w:rPr>
          <w:rFonts w:ascii="Times New Roman" w:hAnsi="Times New Roman" w:cs="B Nazanin"/>
          <w:sz w:val="20"/>
          <w:rtl/>
          <w:lang w:val="en-GB" w:bidi="ar-SA"/>
        </w:rPr>
        <w:t xml:space="preserve">بنابراین، حتی با وجود سازوکار ابطال، مشکل ناهمگونی و نبود انسجام ماهوی همچنان باقی می‌ماند و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نیز این خلأ ساختاری را به طور کامل جبران نکرده‌اند</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Sornarajah</w:t>
      </w:r>
      <w:proofErr w:type="spellEnd"/>
      <w:r w:rsidRPr="00DF39AA">
        <w:rPr>
          <w:rFonts w:ascii="Times New Roman" w:hAnsi="Times New Roman" w:cs="B Nazanin"/>
          <w:sz w:val="20"/>
          <w:lang w:val="en-GB"/>
        </w:rPr>
        <w:t>, 2021).</w:t>
      </w:r>
    </w:p>
    <w:p w14:paraId="0E691CD0" w14:textId="6EC54B38"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rPr>
        <w:t>۳</w:t>
      </w:r>
      <w:r w:rsidRPr="00DF39AA">
        <w:rPr>
          <w:rFonts w:ascii="Times New Roman" w:hAnsi="Times New Roman" w:cs="B Nazanin"/>
          <w:sz w:val="20"/>
          <w:lang w:val="en-GB"/>
        </w:rPr>
        <w:t>–</w:t>
      </w:r>
      <w:r w:rsidRPr="00DF39AA">
        <w:rPr>
          <w:rFonts w:ascii="Times New Roman" w:hAnsi="Times New Roman" w:cs="B Nazanin"/>
          <w:sz w:val="20"/>
          <w:rtl/>
          <w:lang w:val="en-GB"/>
        </w:rPr>
        <w:t>۵</w:t>
      </w:r>
      <w:r w:rsidR="009B0DF4">
        <w:rPr>
          <w:rFonts w:ascii="Times New Roman" w:hAnsi="Times New Roman" w:cs="B Nazanin" w:hint="cs"/>
          <w:sz w:val="20"/>
          <w:rtl/>
          <w:lang w:val="en-GB"/>
        </w:rPr>
        <w:t>-</w:t>
      </w:r>
      <w:r w:rsidRPr="00DF39AA">
        <w:rPr>
          <w:rFonts w:ascii="Times New Roman" w:hAnsi="Times New Roman" w:cs="B Nazanin"/>
          <w:sz w:val="20"/>
          <w:lang w:val="en-GB"/>
        </w:rPr>
        <w:t xml:space="preserve"> </w:t>
      </w:r>
      <w:r w:rsidRPr="00DF39AA">
        <w:rPr>
          <w:rFonts w:ascii="Times New Roman" w:hAnsi="Times New Roman" w:cs="B Nazanin"/>
          <w:sz w:val="20"/>
          <w:rtl/>
          <w:lang w:val="en-GB" w:bidi="ar-SA"/>
        </w:rPr>
        <w:t>اجرای رأی: مزیت ساختاری ایکسید و چالش‌های سیاسی-اقتصادی</w:t>
      </w:r>
    </w:p>
    <w:p w14:paraId="71831261" w14:textId="7777777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اجرای رأی در نظام ایکسید یکی از مهم‌ترین مزیت‌های این رژیم است؛ زیرا دولت‌های عضو متعهدند رأی را همانند حکم قطعی دادگاه داخلی اجرا کنند</w:t>
      </w:r>
      <w:r w:rsidRPr="00DF39AA">
        <w:rPr>
          <w:rFonts w:ascii="Times New Roman" w:hAnsi="Times New Roman" w:cs="B Nazanin"/>
          <w:sz w:val="20"/>
          <w:lang w:val="en-GB"/>
        </w:rPr>
        <w:t xml:space="preserve"> (</w:t>
      </w:r>
      <w:proofErr w:type="spellStart"/>
      <w:r w:rsidRPr="00DF39AA">
        <w:rPr>
          <w:rFonts w:ascii="Times New Roman" w:hAnsi="Times New Roman" w:cs="B Nazanin"/>
          <w:sz w:val="20"/>
          <w:lang w:val="en-GB"/>
        </w:rPr>
        <w:t>Schreuer</w:t>
      </w:r>
      <w:proofErr w:type="spellEnd"/>
      <w:r w:rsidRPr="00DF39AA">
        <w:rPr>
          <w:rFonts w:ascii="Times New Roman" w:hAnsi="Times New Roman" w:cs="B Nazanin"/>
          <w:sz w:val="20"/>
          <w:lang w:val="en-GB"/>
        </w:rPr>
        <w:t xml:space="preserve">, 2009). </w:t>
      </w:r>
      <w:r w:rsidRPr="00DF39AA">
        <w:rPr>
          <w:rFonts w:ascii="Times New Roman" w:hAnsi="Times New Roman" w:cs="B Nazanin"/>
          <w:sz w:val="20"/>
          <w:rtl/>
          <w:lang w:val="en-GB" w:bidi="ar-SA"/>
        </w:rPr>
        <w:t>این ویژگی، از منظر سرمایه‌گذار یک ابزار کاهش ریسک سیاسی است و از منظر دولت، یک تعهد بین‌المللی سنگین که می‌تواند آثار مالی قابل توجهی داشته باشد</w:t>
      </w:r>
      <w:r w:rsidRPr="00DF39AA">
        <w:rPr>
          <w:rFonts w:ascii="Times New Roman" w:hAnsi="Times New Roman" w:cs="B Nazanin"/>
          <w:sz w:val="20"/>
          <w:lang w:val="en-GB"/>
        </w:rPr>
        <w:t>.</w:t>
      </w:r>
    </w:p>
    <w:p w14:paraId="4C6503A1" w14:textId="48032517"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با این حال، اجرای رأی در عمل همواره صرفاً یک فرآیند حقوقی نیست و ممکن است با موانع سیاسی یا تعارض‌های نهادی مواجه شود. پرونده</w:t>
      </w:r>
      <w:r w:rsidRPr="00DF39AA">
        <w:rPr>
          <w:rFonts w:ascii="Times New Roman" w:hAnsi="Times New Roman" w:cs="B Nazanin"/>
          <w:sz w:val="20"/>
          <w:lang w:val="en-GB"/>
        </w:rPr>
        <w:t xml:space="preserve"> </w:t>
      </w:r>
      <w:r w:rsidR="005D28AA" w:rsidRPr="005D28AA">
        <w:rPr>
          <w:rFonts w:ascii="Times New Roman" w:hAnsi="Times New Roman" w:cs="B Nazanin" w:hint="cs"/>
          <w:sz w:val="20"/>
          <w:rtl/>
          <w:lang w:val="en-GB"/>
        </w:rPr>
        <w:t>میکولا</w:t>
      </w:r>
      <w:r w:rsidR="005D28AA" w:rsidRPr="005D28AA">
        <w:rPr>
          <w:rFonts w:ascii="Times New Roman" w:hAnsi="Times New Roman" w:cs="B Nazanin"/>
          <w:sz w:val="20"/>
          <w:rtl/>
          <w:lang w:val="en-GB"/>
        </w:rPr>
        <w:t xml:space="preserve"> </w:t>
      </w:r>
      <w:r w:rsidR="005D28AA" w:rsidRPr="005D28AA">
        <w:rPr>
          <w:rFonts w:ascii="Times New Roman" w:hAnsi="Times New Roman" w:cs="B Nazanin" w:hint="cs"/>
          <w:sz w:val="20"/>
          <w:rtl/>
          <w:lang w:val="en-GB"/>
        </w:rPr>
        <w:t>علیه</w:t>
      </w:r>
      <w:r w:rsidR="005D28AA" w:rsidRPr="005D28AA">
        <w:rPr>
          <w:rFonts w:ascii="Times New Roman" w:hAnsi="Times New Roman" w:cs="B Nazanin"/>
          <w:sz w:val="20"/>
          <w:rtl/>
          <w:lang w:val="en-GB"/>
        </w:rPr>
        <w:t xml:space="preserve"> </w:t>
      </w:r>
      <w:r w:rsidR="005D28AA" w:rsidRPr="005D28AA">
        <w:rPr>
          <w:rFonts w:ascii="Times New Roman" w:hAnsi="Times New Roman" w:cs="B Nazanin" w:hint="cs"/>
          <w:sz w:val="20"/>
          <w:rtl/>
          <w:lang w:val="en-GB"/>
        </w:rPr>
        <w:t>رومانی</w:t>
      </w:r>
      <w:r w:rsidR="005D28AA">
        <w:rPr>
          <w:rFonts w:ascii="Times New Roman" w:hAnsi="Times New Roman" w:cs="B Nazanin" w:hint="cs"/>
          <w:sz w:val="20"/>
          <w:rtl/>
          <w:lang w:val="en-GB"/>
        </w:rPr>
        <w:t xml:space="preserve"> </w:t>
      </w:r>
      <w:r w:rsidRPr="00DF39AA">
        <w:rPr>
          <w:rFonts w:ascii="Times New Roman" w:hAnsi="Times New Roman" w:cs="B Nazanin"/>
          <w:sz w:val="20"/>
          <w:rtl/>
          <w:lang w:val="en-GB" w:bidi="ar-SA"/>
        </w:rPr>
        <w:t xml:space="preserve">نمونه‌ای است که نشان می‌دهد اجرای رأی سرمایه‌گذاری می‌تواند با تعهدات دیگر دولت‌ها </w:t>
      </w:r>
      <w:r w:rsidRPr="00DF39AA">
        <w:rPr>
          <w:rFonts w:ascii="Times New Roman" w:hAnsi="Times New Roman" w:cs="B Nazanin"/>
          <w:sz w:val="20"/>
          <w:rtl/>
          <w:lang w:val="en-GB" w:bidi="ar-SA"/>
        </w:rPr>
        <w:lastRenderedPageBreak/>
        <w:t>(مثلاً در چارچوب رژیم‌های منطقه‌ای یا الزامات اقتصادی) دچار تنش شود</w:t>
      </w:r>
      <w:r w:rsidRPr="00DF39AA">
        <w:rPr>
          <w:rFonts w:ascii="Times New Roman" w:hAnsi="Times New Roman" w:cs="B Nazanin"/>
          <w:sz w:val="20"/>
          <w:lang w:val="en-GB"/>
        </w:rPr>
        <w:t xml:space="preserve"> (Micula v. Romania, 2013). </w:t>
      </w:r>
      <w:r w:rsidRPr="00DF39AA">
        <w:rPr>
          <w:rFonts w:ascii="Times New Roman" w:hAnsi="Times New Roman" w:cs="B Nazanin"/>
          <w:sz w:val="20"/>
          <w:rtl/>
          <w:lang w:val="en-GB" w:bidi="ar-SA"/>
        </w:rPr>
        <w:t>این وضعیت بیانگر آن است که کارآمدی اجرای رأی، هرچند در متن کنوانسیون تضمین شده، اما در عمل ممکن است تحت تأثیر ملاحظات سیاسی و اقتصادی قرار گیرد</w:t>
      </w:r>
      <w:r w:rsidRPr="00DF39AA">
        <w:rPr>
          <w:rFonts w:ascii="Times New Roman" w:hAnsi="Times New Roman" w:cs="B Nazanin"/>
          <w:sz w:val="20"/>
          <w:lang w:val="en-GB"/>
        </w:rPr>
        <w:t>.</w:t>
      </w:r>
    </w:p>
    <w:p w14:paraId="6593CA06" w14:textId="10CA8796" w:rsidR="00DF39AA" w:rsidRPr="00DF39AA" w:rsidRDefault="00DF39AA" w:rsidP="0081613D">
      <w:pPr>
        <w:bidi/>
        <w:spacing w:after="0" w:line="276" w:lineRule="auto"/>
        <w:jc w:val="both"/>
        <w:rPr>
          <w:rFonts w:ascii="Times New Roman" w:hAnsi="Times New Roman" w:cs="B Nazanin"/>
          <w:sz w:val="20"/>
          <w:lang w:val="en-GB"/>
        </w:rPr>
      </w:pPr>
      <w:r w:rsidRPr="00DF39AA">
        <w:rPr>
          <w:rFonts w:ascii="Times New Roman" w:hAnsi="Times New Roman" w:cs="B Nazanin"/>
          <w:sz w:val="20"/>
          <w:rtl/>
          <w:lang w:val="en-GB" w:bidi="ar-SA"/>
        </w:rPr>
        <w:t xml:space="preserve">تحول فرآیند داوری ایکسید پس از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را باید فراتر از تغییرات شکلی فهم کرد. شفافیت، مشارکت عمومی، مدیریت زمان و هزینه، و ابزارهای مکمل حل اختلاف، همگی بیانگر آن‌اند که داوری سرمایه‌گذاری در حال حرکت به سوی مدلی است که در آن «مشروعیت» نه صرفاً نتیجه رأی، بلکه محصول فرآیند رسیدگی تلقی می‌شود</w:t>
      </w:r>
      <w:r w:rsidRPr="00DF39AA">
        <w:rPr>
          <w:rFonts w:ascii="Times New Roman" w:hAnsi="Times New Roman" w:cs="B Nazanin"/>
          <w:sz w:val="20"/>
          <w:lang w:val="en-GB"/>
        </w:rPr>
        <w:t xml:space="preserve"> (ICSID Arbitration Rules, 2022; ICSID Secretariat, 2022). </w:t>
      </w:r>
      <w:r w:rsidR="00352F94">
        <w:rPr>
          <w:rFonts w:ascii="Times New Roman" w:hAnsi="Times New Roman" w:cs="B Nazanin" w:hint="cs"/>
          <w:sz w:val="20"/>
          <w:rtl/>
          <w:lang w:val="en-GB"/>
        </w:rPr>
        <w:t xml:space="preserve"> </w:t>
      </w:r>
      <w:r w:rsidRPr="00DF39AA">
        <w:rPr>
          <w:rFonts w:ascii="Times New Roman" w:hAnsi="Times New Roman" w:cs="B Nazanin"/>
          <w:sz w:val="20"/>
          <w:rtl/>
          <w:lang w:val="en-GB" w:bidi="ar-SA"/>
        </w:rPr>
        <w:t xml:space="preserve">در همین چارچوب،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ظرفیت آن را دارند که از فشارهای مشروعیتی ناشی از محرمانگی و هزینه‌های سنگین بکاهند</w:t>
      </w:r>
      <w:r w:rsidRPr="00DF39AA">
        <w:rPr>
          <w:rFonts w:ascii="Times New Roman" w:hAnsi="Times New Roman" w:cs="B Nazanin"/>
          <w:sz w:val="20"/>
          <w:lang w:val="en-GB"/>
        </w:rPr>
        <w:t>.</w:t>
      </w:r>
    </w:p>
    <w:p w14:paraId="71BA2217" w14:textId="77777777" w:rsidR="00DF39AA" w:rsidRDefault="00DF39AA" w:rsidP="0081613D">
      <w:pPr>
        <w:bidi/>
        <w:spacing w:after="0" w:line="276" w:lineRule="auto"/>
        <w:jc w:val="both"/>
        <w:rPr>
          <w:rFonts w:ascii="Times New Roman" w:hAnsi="Times New Roman" w:cs="B Nazanin"/>
          <w:sz w:val="20"/>
          <w:rtl/>
          <w:lang w:val="en-GB"/>
        </w:rPr>
      </w:pPr>
      <w:r w:rsidRPr="00DF39AA">
        <w:rPr>
          <w:rFonts w:ascii="Times New Roman" w:hAnsi="Times New Roman" w:cs="B Nazanin"/>
          <w:sz w:val="20"/>
          <w:rtl/>
          <w:lang w:val="en-GB" w:bidi="ar-SA"/>
        </w:rPr>
        <w:t xml:space="preserve">با این حال، محدودیت‌های ساختاری همچنان باقی است. فقدان سازوکار استیناف ماهوی و استمرار ناهمگونی تفسیری در استانداردهای حمایتی، موجب می‌شود که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اگرچه فرآیند را شفاف‌تر و کارآمدتر کرده‌اند، اما نتوانسته‌اند به تنهایی بحران مشروعیت را به طور کامل مرتفع سازند</w:t>
      </w:r>
      <w:r w:rsidRPr="00DF39AA">
        <w:rPr>
          <w:rFonts w:ascii="Times New Roman" w:hAnsi="Times New Roman" w:cs="B Nazanin"/>
          <w:sz w:val="20"/>
          <w:lang w:val="en-GB"/>
        </w:rPr>
        <w:t xml:space="preserve"> (Van Harten, 2007; </w:t>
      </w:r>
      <w:proofErr w:type="spellStart"/>
      <w:r w:rsidRPr="00DF39AA">
        <w:rPr>
          <w:rFonts w:ascii="Times New Roman" w:hAnsi="Times New Roman" w:cs="B Nazanin"/>
          <w:sz w:val="20"/>
          <w:lang w:val="en-GB"/>
        </w:rPr>
        <w:t>Sornarajah</w:t>
      </w:r>
      <w:proofErr w:type="spellEnd"/>
      <w:r w:rsidRPr="00DF39AA">
        <w:rPr>
          <w:rFonts w:ascii="Times New Roman" w:hAnsi="Times New Roman" w:cs="B Nazanin"/>
          <w:sz w:val="20"/>
          <w:lang w:val="en-GB"/>
        </w:rPr>
        <w:t xml:space="preserve">, 2021). </w:t>
      </w:r>
      <w:r w:rsidRPr="00DF39AA">
        <w:rPr>
          <w:rFonts w:ascii="Times New Roman" w:hAnsi="Times New Roman" w:cs="B Nazanin"/>
          <w:sz w:val="20"/>
          <w:rtl/>
          <w:lang w:val="en-GB" w:bidi="ar-SA"/>
        </w:rPr>
        <w:t xml:space="preserve">بنابراین، اصلاحات </w:t>
      </w:r>
      <w:r w:rsidRPr="00DF39AA">
        <w:rPr>
          <w:rFonts w:ascii="Times New Roman" w:hAnsi="Times New Roman" w:cs="B Nazanin"/>
          <w:sz w:val="20"/>
          <w:rtl/>
          <w:lang w:val="en-GB"/>
        </w:rPr>
        <w:t>۲۰۲۲</w:t>
      </w:r>
      <w:r w:rsidRPr="00DF39AA">
        <w:rPr>
          <w:rFonts w:ascii="Times New Roman" w:hAnsi="Times New Roman" w:cs="B Nazanin"/>
          <w:sz w:val="20"/>
          <w:rtl/>
          <w:lang w:val="en-GB" w:bidi="ar-SA"/>
        </w:rPr>
        <w:t xml:space="preserve"> را باید مرحله‌ای مهم در بازتنظیم داوری سرمایه‌گذاری دانست؛ مرحله‌ای که فرآیند داوری را از یک سازوکار خصوصی و بسته، به یک سازوکار مدیریت‌شده و پاسخ‌گو نزدیک‌تر کرده است، اما هنوز با چالش‌های مفهومی و نهادی بنیادین روبه‌رو است</w:t>
      </w:r>
      <w:r w:rsidRPr="00DF39AA">
        <w:rPr>
          <w:rFonts w:ascii="Times New Roman" w:hAnsi="Times New Roman" w:cs="B Nazanin"/>
          <w:sz w:val="20"/>
          <w:lang w:val="en-GB"/>
        </w:rPr>
        <w:t>.</w:t>
      </w:r>
    </w:p>
    <w:p w14:paraId="732062F3" w14:textId="77777777" w:rsidR="00E00870" w:rsidRDefault="00E00870" w:rsidP="0081613D">
      <w:pPr>
        <w:bidi/>
        <w:spacing w:after="0" w:line="276" w:lineRule="auto"/>
        <w:jc w:val="both"/>
        <w:rPr>
          <w:rFonts w:ascii="Times New Roman" w:hAnsi="Times New Roman" w:cs="B Nazanin"/>
          <w:b/>
          <w:bCs/>
          <w:sz w:val="20"/>
          <w:rtl/>
          <w:lang w:val="en-GB"/>
        </w:rPr>
      </w:pPr>
    </w:p>
    <w:p w14:paraId="365C8008" w14:textId="46C436A2" w:rsidR="00AC1E9B" w:rsidRPr="00AC1E9B" w:rsidRDefault="00AC1E9B" w:rsidP="0081613D">
      <w:pPr>
        <w:bidi/>
        <w:spacing w:after="0" w:line="276" w:lineRule="auto"/>
        <w:jc w:val="both"/>
        <w:rPr>
          <w:rFonts w:ascii="Times New Roman" w:hAnsi="Times New Roman" w:cs="B Nazanin"/>
          <w:b/>
          <w:bCs/>
          <w:sz w:val="20"/>
          <w:lang w:val="en-GB"/>
        </w:rPr>
      </w:pPr>
      <w:r w:rsidRPr="00CB23A5">
        <w:rPr>
          <w:rFonts w:ascii="Times New Roman" w:hAnsi="Times New Roman" w:cs="B Nazanin" w:hint="cs"/>
          <w:b/>
          <w:bCs/>
          <w:sz w:val="20"/>
          <w:rtl/>
          <w:lang w:val="en-GB" w:bidi="ar-SA"/>
        </w:rPr>
        <w:t>4-</w:t>
      </w:r>
      <w:r w:rsidRPr="00AC1E9B">
        <w:rPr>
          <w:rFonts w:ascii="Times New Roman" w:hAnsi="Times New Roman" w:cs="B Nazanin"/>
          <w:b/>
          <w:bCs/>
          <w:sz w:val="20"/>
          <w:rtl/>
          <w:lang w:val="en-GB" w:bidi="ar-SA"/>
        </w:rPr>
        <w:t xml:space="preserve"> بحران مشروعیت و مسیرهای اصلاح در نظام ایکسید</w:t>
      </w:r>
    </w:p>
    <w:p w14:paraId="7C018604" w14:textId="3E833233"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بحران مشروعیت در داوری سرمایه‌گذاری صرفاً یک انتقاد سیاسی یا رسانه‌ای نیست، بلکه مسئله‌ای حقوقی-نهادی است که از ناسازگاری میان «کارکرد عمومی اختلافات سرمایه‌گذاری» و «ساختار خصوصی‌گرایانه داوری» ناشی می‌شو</w:t>
      </w:r>
      <w:r w:rsidR="005D28AA">
        <w:rPr>
          <w:rFonts w:ascii="Times New Roman" w:hAnsi="Times New Roman" w:cs="B Nazanin" w:hint="cs"/>
          <w:sz w:val="20"/>
          <w:rtl/>
          <w:lang w:val="en-GB" w:bidi="ar-SA"/>
        </w:rPr>
        <w:t>د</w:t>
      </w:r>
      <w:r w:rsidR="005D28AA">
        <w:rPr>
          <w:rFonts w:ascii="Times New Roman" w:hAnsi="Times New Roman" w:cs="B Nazanin" w:hint="cs"/>
          <w:sz w:val="20"/>
          <w:rtl/>
          <w:lang w:val="en-GB"/>
        </w:rPr>
        <w:t>.</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داوری سرمایه‌گذاری در بسیاری موارد مستقیماً بر سیاست عمومی، منابع مالی دولت، و حوزه‌هایی مانند سلامت، محیط زیست و حکمرانی اقتصادی اثر می‌گذارد؛ اما در عین حال، از نظر شفافیت، پاسخ‌گویی و کنترل ماهوی، همواره کمتر از سطح مورد انتظار یک سازوکار تصمیم‌ساز عمومی بوده است</w:t>
      </w:r>
      <w:r w:rsidR="005D28AA">
        <w:rPr>
          <w:rFonts w:ascii="Times New Roman" w:hAnsi="Times New Roman" w:cs="B Nazanin" w:hint="cs"/>
          <w:sz w:val="20"/>
          <w:rtl/>
          <w:lang w:val="en-GB" w:bidi="ar-SA"/>
        </w:rPr>
        <w:t>.</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 xml:space="preserve">به همین دلیل، مشروعیت داوری سرمایه‌گذاری باید در سه سطح فرایندی، ساختاری و محتوایی تحلیل شود و اصلاحات </w:t>
      </w:r>
      <w:r w:rsidRPr="00AC1E9B">
        <w:rPr>
          <w:rFonts w:ascii="Times New Roman" w:hAnsi="Times New Roman" w:cs="B Nazanin"/>
          <w:sz w:val="20"/>
          <w:rtl/>
          <w:lang w:val="en-GB"/>
        </w:rPr>
        <w:t>۲۰۲۲</w:t>
      </w:r>
      <w:r w:rsidRPr="00AC1E9B">
        <w:rPr>
          <w:rFonts w:ascii="Times New Roman" w:hAnsi="Times New Roman" w:cs="B Nazanin"/>
          <w:sz w:val="20"/>
          <w:rtl/>
          <w:lang w:val="en-GB" w:bidi="ar-SA"/>
        </w:rPr>
        <w:t xml:space="preserve"> نیز دقیقاً با همین معیارها ارزیابی گردد</w:t>
      </w:r>
      <w:r w:rsidRPr="00AC1E9B">
        <w:rPr>
          <w:rFonts w:ascii="Times New Roman" w:hAnsi="Times New Roman" w:cs="B Nazanin"/>
          <w:sz w:val="20"/>
          <w:lang w:val="en-GB"/>
        </w:rPr>
        <w:t xml:space="preserve"> (ICSID Arbitration Rules, 2022).</w:t>
      </w:r>
    </w:p>
    <w:p w14:paraId="6951BC32" w14:textId="3425CDB2"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rPr>
        <w:t>۴</w:t>
      </w:r>
      <w:r w:rsidRPr="00AC1E9B">
        <w:rPr>
          <w:rFonts w:ascii="Times New Roman" w:hAnsi="Times New Roman" w:cs="B Nazanin"/>
          <w:sz w:val="20"/>
          <w:lang w:val="en-GB"/>
        </w:rPr>
        <w:t>–</w:t>
      </w:r>
      <w:r w:rsidRPr="00AC1E9B">
        <w:rPr>
          <w:rFonts w:ascii="Times New Roman" w:hAnsi="Times New Roman" w:cs="B Nazanin"/>
          <w:sz w:val="20"/>
          <w:rtl/>
          <w:lang w:val="en-GB"/>
        </w:rPr>
        <w:t>۱</w:t>
      </w:r>
      <w:r w:rsidR="009B0DF4">
        <w:rPr>
          <w:rFonts w:ascii="Times New Roman" w:hAnsi="Times New Roman" w:cs="B Nazanin" w:hint="cs"/>
          <w:sz w:val="20"/>
          <w:rtl/>
          <w:lang w:val="en-GB"/>
        </w:rPr>
        <w:t>-</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مشروعیت فرایندی: شفافیت و عمومی‌شدن داوری سرمایه‌گذاری</w:t>
      </w:r>
    </w:p>
    <w:p w14:paraId="7FADB169" w14:textId="3B079181"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سطح نخست بحران مشروعیت، به «فرایند» رسیدگی بازمی‌گردد: میزان شفافیت، امکان دسترسی عمومی به اطلاعات پرونده، و ظرفیت مشارکت اشخاص ثالث در اختلافاتی که اثرات عمومی دارند</w:t>
      </w:r>
      <w:r w:rsidRPr="00AC1E9B">
        <w:rPr>
          <w:rFonts w:ascii="Times New Roman" w:hAnsi="Times New Roman" w:cs="B Nazanin"/>
          <w:sz w:val="20"/>
          <w:lang w:val="en-GB"/>
        </w:rPr>
        <w:t xml:space="preserve"> (UNCITRAL, 2013). </w:t>
      </w:r>
      <w:r w:rsidRPr="00AC1E9B">
        <w:rPr>
          <w:rFonts w:ascii="Times New Roman" w:hAnsi="Times New Roman" w:cs="B Nazanin"/>
          <w:sz w:val="20"/>
          <w:rtl/>
          <w:lang w:val="en-GB" w:bidi="ar-SA"/>
        </w:rPr>
        <w:t>محرمانگی سنتی داوری سرمایه‌گذاری، به‌ویژه در پرونده‌های مرتبط با سیاست عمومی، موجب شده این سازوکار از منظر مشروعیت دموکراتیک آسیب‌پذیر شود؛ زیرا تصمیماتی با پیامد عمومی، در فضایی کم‌دسترسی و غیرپاسخ‌گو اتخاذ می‌شوند</w:t>
      </w:r>
      <w:r w:rsidRPr="00AC1E9B">
        <w:rPr>
          <w:rFonts w:ascii="Times New Roman" w:hAnsi="Times New Roman" w:cs="B Nazanin"/>
          <w:sz w:val="20"/>
          <w:lang w:val="en-GB"/>
        </w:rPr>
        <w:t xml:space="preserve"> </w:t>
      </w:r>
      <w:r w:rsidR="005D28AA">
        <w:rPr>
          <w:rFonts w:ascii="Times New Roman" w:hAnsi="Times New Roman" w:cs="B Nazanin" w:hint="cs"/>
          <w:sz w:val="20"/>
          <w:rtl/>
          <w:lang w:val="en-GB"/>
        </w:rPr>
        <w:t>.</w:t>
      </w:r>
    </w:p>
    <w:p w14:paraId="457C14E3" w14:textId="5720E2CD"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اصلاحات </w:t>
      </w:r>
      <w:r w:rsidRPr="00AC1E9B">
        <w:rPr>
          <w:rFonts w:ascii="Times New Roman" w:hAnsi="Times New Roman" w:cs="B Nazanin"/>
          <w:sz w:val="20"/>
          <w:rtl/>
          <w:lang w:val="en-GB"/>
        </w:rPr>
        <w:t>۲۰۲۲</w:t>
      </w:r>
      <w:r w:rsidRPr="00AC1E9B">
        <w:rPr>
          <w:rFonts w:ascii="Times New Roman" w:hAnsi="Times New Roman" w:cs="B Nazanin"/>
          <w:sz w:val="20"/>
          <w:rtl/>
          <w:lang w:val="en-GB" w:bidi="ar-SA"/>
        </w:rPr>
        <w:t xml:space="preserve"> در این سطح اثرگذار بوده‌اند، زیرا قواعد شفافیت و انتشار اطلاعات را تقویت کرده‌اند و در نتیجه، داوری سرمایه‌گذاری را به سمت الگویی پاسخ‌گوتر سوق داده‌اند</w:t>
      </w:r>
      <w:r w:rsidRPr="00AC1E9B">
        <w:rPr>
          <w:rFonts w:ascii="Times New Roman" w:hAnsi="Times New Roman" w:cs="B Nazanin"/>
          <w:sz w:val="20"/>
          <w:lang w:val="en-GB"/>
        </w:rPr>
        <w:t xml:space="preserve"> (ICSID Secretariat, 2022). </w:t>
      </w:r>
      <w:r w:rsidRPr="00AC1E9B">
        <w:rPr>
          <w:rFonts w:ascii="Times New Roman" w:hAnsi="Times New Roman" w:cs="B Nazanin"/>
          <w:sz w:val="20"/>
          <w:rtl/>
          <w:lang w:val="en-GB" w:bidi="ar-SA"/>
        </w:rPr>
        <w:t>اهمیت این تحول زمانی روشن‌تر می‌شود که اختلافات سرمایه‌گذاری در حوزه‌هایی مانند سلامت عمومی مطرح باشد؛ زیرا در این پرونده‌ها، ماهیت اختلاف از یک نزاع اقتصادی صرف فراتر می‌رود و به قلمرو حکمرانی عمومی وارد می‌شود</w:t>
      </w:r>
      <w:r w:rsidR="005D28AA">
        <w:rPr>
          <w:rFonts w:ascii="Times New Roman" w:hAnsi="Times New Roman" w:cs="B Nazanin" w:hint="cs"/>
          <w:sz w:val="20"/>
          <w:rtl/>
          <w:lang w:val="en-GB"/>
        </w:rPr>
        <w:t>.</w:t>
      </w:r>
    </w:p>
    <w:p w14:paraId="443A192A" w14:textId="77777777"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شاهد تحولی (پرونده منتخب)</w:t>
      </w:r>
    </w:p>
    <w:p w14:paraId="03E42BCA" w14:textId="23A9A5A5" w:rsidR="00AC1E9B" w:rsidRPr="00AC1E9B" w:rsidRDefault="00AC1E9B" w:rsidP="00DD02C8">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lastRenderedPageBreak/>
        <w:t xml:space="preserve">پرونده </w:t>
      </w:r>
      <w:r w:rsidR="00DD02C8" w:rsidRPr="00DD02C8">
        <w:rPr>
          <w:rFonts w:ascii="Times New Roman" w:hAnsi="Times New Roman" w:cs="B Nazanin"/>
          <w:sz w:val="20"/>
          <w:rtl/>
          <w:lang w:val="en-GB"/>
        </w:rPr>
        <w:t>فیلیپ موریس علیه اروگوئه</w:t>
      </w:r>
      <w:r w:rsidR="00DD02C8" w:rsidRPr="00DD02C8">
        <w:rPr>
          <w:rFonts w:ascii="Times New Roman" w:hAnsi="Times New Roman" w:cs="B Nazanin"/>
          <w:sz w:val="20"/>
          <w:rtl/>
          <w:lang w:val="en-GB" w:bidi="ar-SA"/>
        </w:rPr>
        <w:t xml:space="preserve"> </w:t>
      </w:r>
      <w:r w:rsidRPr="00AC1E9B">
        <w:rPr>
          <w:rFonts w:ascii="Times New Roman" w:hAnsi="Times New Roman" w:cs="B Nazanin"/>
          <w:sz w:val="20"/>
          <w:rtl/>
          <w:lang w:val="en-GB" w:bidi="ar-SA"/>
        </w:rPr>
        <w:t>از منظر مشروعیت فرایندی و عمومی‌شدن اختلاف اهمیت دارد، زیرا موضوع آن مقررات سلامت عمومی بود و این ویژگی، ضرورت شفافیت و پاسخ‌گویی را برجسته می‌کرد. در این پرونده، هیئت داوری ضمن رد ادعاهای سرمایه‌گذار، بر مشروعیت اقدامات دولت در چارچوب هدف سلامت عمومی تأکید کرد</w:t>
      </w:r>
      <w:r w:rsidRPr="00AC1E9B">
        <w:rPr>
          <w:rFonts w:ascii="Times New Roman" w:hAnsi="Times New Roman" w:cs="B Nazanin"/>
          <w:sz w:val="20"/>
          <w:lang w:val="en-GB"/>
        </w:rPr>
        <w:t xml:space="preserve"> (Philip Morris v. Uruguay, 2016, paras. 295–302). </w:t>
      </w:r>
      <w:r w:rsidR="005D28AA">
        <w:rPr>
          <w:rFonts w:ascii="Times New Roman" w:hAnsi="Times New Roman" w:cs="B Nazanin" w:hint="cs"/>
          <w:sz w:val="20"/>
          <w:rtl/>
          <w:lang w:val="en-GB"/>
        </w:rPr>
        <w:t xml:space="preserve"> </w:t>
      </w:r>
      <w:r w:rsidRPr="00AC1E9B">
        <w:rPr>
          <w:rFonts w:ascii="Times New Roman" w:hAnsi="Times New Roman" w:cs="B Nazanin"/>
          <w:sz w:val="20"/>
          <w:rtl/>
          <w:lang w:val="en-GB" w:bidi="ar-SA"/>
        </w:rPr>
        <w:t xml:space="preserve">این رأی نشان داد که در اختلافات «سیاست‌محور»، داوری ناگزیر به پذیرش منطق پاسخ‌گویی عمومی است؛ روندی که اصلاحات </w:t>
      </w:r>
      <w:r w:rsidRPr="00AC1E9B">
        <w:rPr>
          <w:rFonts w:ascii="Times New Roman" w:hAnsi="Times New Roman" w:cs="B Nazanin"/>
          <w:sz w:val="20"/>
          <w:rtl/>
          <w:lang w:val="en-GB"/>
        </w:rPr>
        <w:t>۲۰۲۲</w:t>
      </w:r>
      <w:r w:rsidRPr="00AC1E9B">
        <w:rPr>
          <w:rFonts w:ascii="Times New Roman" w:hAnsi="Times New Roman" w:cs="B Nazanin"/>
          <w:sz w:val="20"/>
          <w:rtl/>
          <w:lang w:val="en-GB" w:bidi="ar-SA"/>
        </w:rPr>
        <w:t xml:space="preserve"> تلاش کرده آن را در سطح نهادی تقویت کند</w:t>
      </w:r>
      <w:r w:rsidRPr="00AC1E9B">
        <w:rPr>
          <w:rFonts w:ascii="Times New Roman" w:hAnsi="Times New Roman" w:cs="B Nazanin"/>
          <w:sz w:val="20"/>
          <w:lang w:val="en-GB"/>
        </w:rPr>
        <w:t xml:space="preserve"> (ICSID Arbitration Rules, 2022).</w:t>
      </w:r>
    </w:p>
    <w:p w14:paraId="72089E62" w14:textId="20CEC769"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rPr>
        <w:t>۴</w:t>
      </w:r>
      <w:r w:rsidRPr="00AC1E9B">
        <w:rPr>
          <w:rFonts w:ascii="Times New Roman" w:hAnsi="Times New Roman" w:cs="B Nazanin"/>
          <w:sz w:val="20"/>
          <w:lang w:val="en-GB"/>
        </w:rPr>
        <w:t>–</w:t>
      </w:r>
      <w:r w:rsidRPr="00AC1E9B">
        <w:rPr>
          <w:rFonts w:ascii="Times New Roman" w:hAnsi="Times New Roman" w:cs="B Nazanin"/>
          <w:sz w:val="20"/>
          <w:rtl/>
          <w:lang w:val="en-GB"/>
        </w:rPr>
        <w:t>۲</w:t>
      </w:r>
      <w:r w:rsidR="009B0DF4">
        <w:rPr>
          <w:rFonts w:ascii="Times New Roman" w:hAnsi="Times New Roman" w:cs="B Nazanin" w:hint="cs"/>
          <w:sz w:val="20"/>
          <w:rtl/>
          <w:lang w:val="en-GB"/>
        </w:rPr>
        <w:t>-</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مشروعیت ساختاری: استقلال، تعارض منافع و فقدان استیناف ماهوی</w:t>
      </w:r>
    </w:p>
    <w:p w14:paraId="4FB10F5C" w14:textId="044E507E" w:rsidR="00AC1E9B" w:rsidRPr="00AC1E9B" w:rsidRDefault="00AC1E9B" w:rsidP="005D28AA">
      <w:pPr>
        <w:bidi/>
        <w:spacing w:after="0" w:line="276" w:lineRule="auto"/>
        <w:jc w:val="both"/>
        <w:rPr>
          <w:rFonts w:ascii="Times New Roman" w:hAnsi="Times New Roman" w:cs="B Nazanin"/>
          <w:sz w:val="20"/>
          <w:lang w:val="en-GB" w:bidi="ar-SA"/>
        </w:rPr>
      </w:pPr>
      <w:r w:rsidRPr="00AC1E9B">
        <w:rPr>
          <w:rFonts w:ascii="Times New Roman" w:hAnsi="Times New Roman" w:cs="B Nazanin"/>
          <w:sz w:val="20"/>
          <w:rtl/>
          <w:lang w:val="en-GB" w:bidi="ar-SA"/>
        </w:rPr>
        <w:t xml:space="preserve">سطح دوم بحران مشروعیت، «ساختاری» است و به طراحی نهادی داوری سرمایه‌گذاری بازمی‌گردد. مسئله در این سطح، صرفاً سرعت یا شفافیت نیست، بلکه پرسش اصلی این است که آیا سازوکار داوری از نظر نهادی قادر به تولید تصمیمات مستقل، قابل اعتماد و قابل اصلاح است </w:t>
      </w:r>
      <w:r w:rsidR="005D28AA">
        <w:rPr>
          <w:rFonts w:ascii="Times New Roman" w:hAnsi="Times New Roman" w:cs="B Nazanin" w:hint="cs"/>
          <w:sz w:val="20"/>
          <w:rtl/>
          <w:lang w:val="en-GB" w:bidi="ar-SA"/>
        </w:rPr>
        <w:t>. د</w:t>
      </w:r>
      <w:r w:rsidRPr="00AC1E9B">
        <w:rPr>
          <w:rFonts w:ascii="Times New Roman" w:hAnsi="Times New Roman" w:cs="B Nazanin"/>
          <w:sz w:val="20"/>
          <w:rtl/>
          <w:lang w:val="en-GB" w:bidi="ar-SA"/>
        </w:rPr>
        <w:t>ر این چارچوب، دو مؤلفه برجسته‌اند: (</w:t>
      </w:r>
      <w:r w:rsidRPr="00AC1E9B">
        <w:rPr>
          <w:rFonts w:ascii="Times New Roman" w:hAnsi="Times New Roman" w:cs="B Nazanin"/>
          <w:sz w:val="20"/>
          <w:rtl/>
          <w:lang w:val="en-GB"/>
        </w:rPr>
        <w:t xml:space="preserve">۱) </w:t>
      </w:r>
      <w:r w:rsidRPr="00AC1E9B">
        <w:rPr>
          <w:rFonts w:ascii="Times New Roman" w:hAnsi="Times New Roman" w:cs="B Nazanin"/>
          <w:sz w:val="20"/>
          <w:rtl/>
          <w:lang w:val="en-GB" w:bidi="ar-SA"/>
        </w:rPr>
        <w:t>تمرکز جامعه داوران و مسئله چرخش نقش‌ها</w:t>
      </w:r>
      <w:r w:rsidR="005D28AA">
        <w:rPr>
          <w:rStyle w:val="FootnoteReference"/>
          <w:rFonts w:ascii="Times New Roman" w:hAnsi="Times New Roman" w:cs="B Nazanin"/>
          <w:sz w:val="20"/>
          <w:rtl/>
          <w:lang w:val="en-GB" w:bidi="ar-SA"/>
        </w:rPr>
        <w:footnoteReference w:id="6"/>
      </w:r>
      <w:r w:rsidR="005D28AA">
        <w:rPr>
          <w:rFonts w:ascii="Times New Roman" w:hAnsi="Times New Roman" w:cs="B Nazanin" w:hint="cs"/>
          <w:sz w:val="20"/>
          <w:rtl/>
          <w:lang w:val="en-GB" w:bidi="ar-SA"/>
        </w:rPr>
        <w:t xml:space="preserve"> </w:t>
      </w:r>
      <w:r w:rsidRPr="00AC1E9B">
        <w:rPr>
          <w:rFonts w:ascii="Times New Roman" w:hAnsi="Times New Roman" w:cs="B Nazanin"/>
          <w:sz w:val="20"/>
          <w:rtl/>
          <w:lang w:val="en-GB" w:bidi="ar-SA"/>
        </w:rPr>
        <w:t>و (</w:t>
      </w:r>
      <w:r w:rsidRPr="00AC1E9B">
        <w:rPr>
          <w:rFonts w:ascii="Times New Roman" w:hAnsi="Times New Roman" w:cs="B Nazanin"/>
          <w:sz w:val="20"/>
          <w:rtl/>
          <w:lang w:val="en-GB"/>
        </w:rPr>
        <w:t xml:space="preserve">۲) </w:t>
      </w:r>
      <w:r w:rsidRPr="00AC1E9B">
        <w:rPr>
          <w:rFonts w:ascii="Times New Roman" w:hAnsi="Times New Roman" w:cs="B Nazanin"/>
          <w:sz w:val="20"/>
          <w:rtl/>
          <w:lang w:val="en-GB" w:bidi="ar-SA"/>
        </w:rPr>
        <w:t>فقدان مرجع استیناف ماهوی برای اصلاح ناهمگونی‌های تفسیری</w:t>
      </w:r>
      <w:r w:rsidRPr="00AC1E9B">
        <w:rPr>
          <w:rFonts w:ascii="Times New Roman" w:hAnsi="Times New Roman" w:cs="B Nazanin"/>
          <w:sz w:val="20"/>
          <w:lang w:val="en-GB"/>
        </w:rPr>
        <w:t xml:space="preserve"> </w:t>
      </w:r>
      <w:r w:rsidR="005D28AA">
        <w:rPr>
          <w:rFonts w:ascii="Times New Roman" w:hAnsi="Times New Roman" w:cs="B Nazanin" w:hint="cs"/>
          <w:sz w:val="20"/>
          <w:rtl/>
          <w:lang w:val="en-GB"/>
        </w:rPr>
        <w:t>.</w:t>
      </w:r>
    </w:p>
    <w:p w14:paraId="56A71CB4" w14:textId="5CB90766"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کنوانسیون واشنگتن کنترل رأی را عمدتاً به سازوکار محدود «ابطال» در ماده </w:t>
      </w:r>
      <w:r w:rsidRPr="00AC1E9B">
        <w:rPr>
          <w:rFonts w:ascii="Times New Roman" w:hAnsi="Times New Roman" w:cs="B Nazanin"/>
          <w:sz w:val="20"/>
          <w:rtl/>
          <w:lang w:val="en-GB"/>
        </w:rPr>
        <w:t>۵۲</w:t>
      </w:r>
      <w:r w:rsidRPr="00AC1E9B">
        <w:rPr>
          <w:rFonts w:ascii="Times New Roman" w:hAnsi="Times New Roman" w:cs="B Nazanin"/>
          <w:sz w:val="20"/>
          <w:rtl/>
          <w:lang w:val="en-GB" w:bidi="ar-SA"/>
        </w:rPr>
        <w:t xml:space="preserve"> واگذار کرده است و این سازوکار، ماهیتاً شکلی است و نه ماهوی</w:t>
      </w:r>
      <w:r w:rsidR="005D28AA">
        <w:rPr>
          <w:rFonts w:ascii="Times New Roman" w:hAnsi="Times New Roman" w:cs="B Nazanin" w:hint="cs"/>
          <w:sz w:val="20"/>
          <w:rtl/>
          <w:lang w:val="en-GB" w:bidi="ar-SA"/>
        </w:rPr>
        <w:t>.</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نتیجه آن است که حتی اگر رأی در تفسیر استانداردهای حمایتی دچار افراط یا خطا شود، ابزار نهادی کافی برای اصلاح ماهیت رأی وجود ندارد</w:t>
      </w:r>
      <w:r w:rsidR="005D28AA">
        <w:rPr>
          <w:rFonts w:ascii="Times New Roman" w:hAnsi="Times New Roman" w:cs="B Nazanin" w:hint="cs"/>
          <w:sz w:val="20"/>
          <w:rtl/>
          <w:lang w:val="en-GB" w:bidi="ar-SA"/>
        </w:rPr>
        <w:t>.</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 xml:space="preserve">اصلاحات </w:t>
      </w:r>
      <w:r w:rsidRPr="00AC1E9B">
        <w:rPr>
          <w:rFonts w:ascii="Times New Roman" w:hAnsi="Times New Roman" w:cs="B Nazanin"/>
          <w:sz w:val="20"/>
          <w:rtl/>
          <w:lang w:val="en-GB"/>
        </w:rPr>
        <w:t>۲۰۲۲</w:t>
      </w:r>
      <w:r w:rsidRPr="00AC1E9B">
        <w:rPr>
          <w:rFonts w:ascii="Times New Roman" w:hAnsi="Times New Roman" w:cs="B Nazanin"/>
          <w:sz w:val="20"/>
          <w:rtl/>
          <w:lang w:val="en-GB" w:bidi="ar-SA"/>
        </w:rPr>
        <w:t xml:space="preserve"> اگرچه برخی ابزارهای مدیریتی و شفافیتی را تقویت کرده‌اند، اما این خلأ ساختاری را جبران نکرده‌اند</w:t>
      </w:r>
      <w:r w:rsidRPr="00AC1E9B">
        <w:rPr>
          <w:rFonts w:ascii="Times New Roman" w:hAnsi="Times New Roman" w:cs="B Nazanin"/>
          <w:sz w:val="20"/>
          <w:lang w:val="en-GB"/>
        </w:rPr>
        <w:t xml:space="preserve"> (ICSID Arbitration Rules, 2022).</w:t>
      </w:r>
    </w:p>
    <w:p w14:paraId="64050EE3" w14:textId="67104C31"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شاهد تحولی</w:t>
      </w:r>
    </w:p>
    <w:p w14:paraId="31191114" w14:textId="2A9D52FA"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تصمیم ابطال در </w:t>
      </w:r>
      <w:r w:rsidR="005D28AA" w:rsidRPr="005D28AA">
        <w:rPr>
          <w:rFonts w:ascii="Times New Roman" w:hAnsi="Times New Roman" w:cs="B Nazanin" w:hint="cs"/>
          <w:sz w:val="20"/>
          <w:rtl/>
          <w:lang w:val="en-GB"/>
        </w:rPr>
        <w:t>ویوندی</w:t>
      </w:r>
      <w:r w:rsidR="005D28AA" w:rsidRPr="005D28AA">
        <w:rPr>
          <w:rFonts w:ascii="Times New Roman" w:hAnsi="Times New Roman" w:cs="B Nazanin"/>
          <w:sz w:val="20"/>
          <w:rtl/>
          <w:lang w:val="en-GB"/>
        </w:rPr>
        <w:t xml:space="preserve"> </w:t>
      </w:r>
      <w:r w:rsidR="005D28AA" w:rsidRPr="005D28AA">
        <w:rPr>
          <w:rFonts w:ascii="Times New Roman" w:hAnsi="Times New Roman" w:cs="B Nazanin" w:hint="cs"/>
          <w:sz w:val="20"/>
          <w:rtl/>
          <w:lang w:val="en-GB"/>
        </w:rPr>
        <w:t>علیه</w:t>
      </w:r>
      <w:r w:rsidR="005D28AA" w:rsidRPr="005D28AA">
        <w:rPr>
          <w:rFonts w:ascii="Times New Roman" w:hAnsi="Times New Roman" w:cs="B Nazanin"/>
          <w:sz w:val="20"/>
          <w:rtl/>
          <w:lang w:val="en-GB"/>
        </w:rPr>
        <w:t xml:space="preserve"> </w:t>
      </w:r>
      <w:r w:rsidR="005D28AA" w:rsidRPr="005D28AA">
        <w:rPr>
          <w:rFonts w:ascii="Times New Roman" w:hAnsi="Times New Roman" w:cs="B Nazanin" w:hint="cs"/>
          <w:sz w:val="20"/>
          <w:rtl/>
          <w:lang w:val="en-GB"/>
        </w:rPr>
        <w:t>آرژانتین</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نشان می‌دهد که ابطال می‌تواند در مواردی نقش کنترلی ایفا کند، اما دامنه آن محدود است و اساساً برای ایجاد انسجام ماهوی طراحی نشده است</w:t>
      </w:r>
      <w:r w:rsidRPr="00AC1E9B">
        <w:rPr>
          <w:rFonts w:ascii="Times New Roman" w:hAnsi="Times New Roman" w:cs="B Nazanin"/>
          <w:sz w:val="20"/>
          <w:lang w:val="en-GB"/>
        </w:rPr>
        <w:t xml:space="preserve"> (Vivendi v. Argentina, 2002). </w:t>
      </w:r>
      <w:r w:rsidRPr="00AC1E9B">
        <w:rPr>
          <w:rFonts w:ascii="Times New Roman" w:hAnsi="Times New Roman" w:cs="B Nazanin"/>
          <w:sz w:val="20"/>
          <w:rtl/>
          <w:lang w:val="en-GB" w:bidi="ar-SA"/>
        </w:rPr>
        <w:t>بنابراین، حتی با وجود سازوکار ابطال، مسئله نبود استیناف ماهوی همچنان به‌عنوان یکی از کانون‌های بحران مشروعیت باقی می‌ماند</w:t>
      </w:r>
      <w:r w:rsidRPr="00AC1E9B">
        <w:rPr>
          <w:rFonts w:ascii="Times New Roman" w:hAnsi="Times New Roman" w:cs="B Nazanin"/>
          <w:sz w:val="20"/>
          <w:lang w:val="en-GB"/>
        </w:rPr>
        <w:t xml:space="preserve"> </w:t>
      </w:r>
      <w:r w:rsidR="005D28AA">
        <w:rPr>
          <w:rFonts w:ascii="Times New Roman" w:hAnsi="Times New Roman" w:cs="B Nazanin" w:hint="cs"/>
          <w:sz w:val="20"/>
          <w:rtl/>
          <w:lang w:val="en-GB"/>
        </w:rPr>
        <w:t>.</w:t>
      </w:r>
    </w:p>
    <w:p w14:paraId="049ACA22" w14:textId="15D5A249"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rPr>
        <w:t>۴</w:t>
      </w:r>
      <w:r w:rsidRPr="00AC1E9B">
        <w:rPr>
          <w:rFonts w:ascii="Times New Roman" w:hAnsi="Times New Roman" w:cs="B Nazanin"/>
          <w:sz w:val="20"/>
          <w:lang w:val="en-GB"/>
        </w:rPr>
        <w:t>–</w:t>
      </w:r>
      <w:r w:rsidRPr="00AC1E9B">
        <w:rPr>
          <w:rFonts w:ascii="Times New Roman" w:hAnsi="Times New Roman" w:cs="B Nazanin"/>
          <w:sz w:val="20"/>
          <w:rtl/>
          <w:lang w:val="en-GB"/>
        </w:rPr>
        <w:t>۳</w:t>
      </w:r>
      <w:r w:rsidR="009B0DF4">
        <w:rPr>
          <w:rFonts w:ascii="Times New Roman" w:hAnsi="Times New Roman" w:cs="B Nazanin" w:hint="cs"/>
          <w:sz w:val="20"/>
          <w:rtl/>
          <w:lang w:val="en-GB"/>
        </w:rPr>
        <w:t>-</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مشروعیت محتوایی: ناهمگونی تفسیر استانداردها و بحران سنجش خسارت</w:t>
      </w:r>
    </w:p>
    <w:p w14:paraId="41493EFC" w14:textId="51BF2A49"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سطح سوم بحران مشروعیت، «محتوایی» است؛ یعنی مربوط به کیفیت هنجارهایی که داوری سرمایه‌گذاری تولید می‌کند و میزان انسجام آن‌ها در تفسیر استانداردهای کلیدی مانند</w:t>
      </w:r>
      <w:r w:rsidRPr="00AC1E9B">
        <w:rPr>
          <w:rFonts w:ascii="Times New Roman" w:hAnsi="Times New Roman" w:cs="B Nazanin"/>
          <w:sz w:val="20"/>
          <w:lang w:val="en-GB"/>
        </w:rPr>
        <w:t xml:space="preserve"> </w:t>
      </w:r>
      <w:r w:rsidR="00352F94" w:rsidRPr="00CB23A5">
        <w:rPr>
          <w:rFonts w:ascii="Times New Roman" w:hAnsi="Times New Roman" w:cs="B Nazanin" w:hint="cs"/>
          <w:sz w:val="20"/>
          <w:rtl/>
          <w:lang w:val="en-GB" w:bidi="ar-SA"/>
        </w:rPr>
        <w:t>مرکز</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بین‌المللی</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حل‌وفصل</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اختلافات</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سرمایه‌گذاری</w:t>
      </w:r>
      <w:r w:rsidRPr="00AC1E9B">
        <w:rPr>
          <w:rFonts w:ascii="Times New Roman" w:hAnsi="Times New Roman" w:cs="B Nazanin"/>
          <w:sz w:val="20"/>
          <w:rtl/>
          <w:lang w:val="en-GB" w:bidi="ar-SA"/>
        </w:rPr>
        <w:t>، سلب مالکیت غیرمستقیم و معیارهای خسارت</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ناهمگونی</w:t>
      </w:r>
      <w:r w:rsidR="005D28AA">
        <w:rPr>
          <w:rFonts w:ascii="Times New Roman" w:hAnsi="Times New Roman" w:cs="B Nazanin" w:hint="cs"/>
          <w:sz w:val="20"/>
          <w:rtl/>
          <w:lang w:val="en-GB" w:bidi="ar-SA"/>
        </w:rPr>
        <w:t xml:space="preserve"> </w:t>
      </w:r>
      <w:r w:rsidRPr="00AC1E9B">
        <w:rPr>
          <w:rFonts w:ascii="Times New Roman" w:hAnsi="Times New Roman" w:cs="B Nazanin"/>
          <w:sz w:val="20"/>
          <w:rtl/>
          <w:lang w:val="en-GB" w:bidi="ar-SA"/>
        </w:rPr>
        <w:t>در تفسیر این استانداردها باعث می‌شود داوری سرمایه‌گذاری غیرقابل پیش‌بینی جلوه کند و دولت‌ها نتوانند حدود مسئولیت خود را به شکل قابل اتکا مدیریت کنند</w:t>
      </w:r>
      <w:r w:rsidRPr="00AC1E9B">
        <w:rPr>
          <w:rFonts w:ascii="Times New Roman" w:hAnsi="Times New Roman" w:cs="B Nazanin"/>
          <w:sz w:val="20"/>
          <w:lang w:val="en-GB"/>
        </w:rPr>
        <w:t xml:space="preserve"> (</w:t>
      </w:r>
      <w:proofErr w:type="spellStart"/>
      <w:r w:rsidRPr="00AC1E9B">
        <w:rPr>
          <w:rFonts w:ascii="Times New Roman" w:hAnsi="Times New Roman" w:cs="B Nazanin"/>
          <w:sz w:val="20"/>
          <w:lang w:val="en-GB"/>
        </w:rPr>
        <w:t>Sornarajah</w:t>
      </w:r>
      <w:proofErr w:type="spellEnd"/>
      <w:r w:rsidRPr="00AC1E9B">
        <w:rPr>
          <w:rFonts w:ascii="Times New Roman" w:hAnsi="Times New Roman" w:cs="B Nazanin"/>
          <w:sz w:val="20"/>
          <w:lang w:val="en-GB"/>
        </w:rPr>
        <w:t>, 2021).</w:t>
      </w:r>
    </w:p>
    <w:p w14:paraId="32023213" w14:textId="1B56ACC4" w:rsidR="00AC1E9B" w:rsidRPr="00AC1E9B" w:rsidRDefault="00AC1E9B" w:rsidP="00352F94">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در این سطح، دو مسئله اهمیت ویژه دارد</w:t>
      </w:r>
      <w:r w:rsidRPr="00AC1E9B">
        <w:rPr>
          <w:rFonts w:ascii="Times New Roman" w:hAnsi="Times New Roman" w:cs="B Nazanin"/>
          <w:sz w:val="20"/>
          <w:lang w:val="en-GB"/>
        </w:rPr>
        <w:t>:</w:t>
      </w:r>
      <w:r w:rsidR="00352F94">
        <w:rPr>
          <w:rFonts w:ascii="Times New Roman" w:hAnsi="Times New Roman" w:cs="B Nazanin" w:hint="cs"/>
          <w:sz w:val="20"/>
          <w:rtl/>
          <w:lang w:val="en-GB"/>
        </w:rPr>
        <w:t xml:space="preserve"> </w:t>
      </w:r>
      <w:r w:rsidRPr="00AC1E9B">
        <w:rPr>
          <w:rFonts w:ascii="Times New Roman" w:hAnsi="Times New Roman" w:cs="B Nazanin"/>
          <w:sz w:val="20"/>
          <w:rtl/>
          <w:lang w:val="en-GB" w:bidi="ar-SA"/>
        </w:rPr>
        <w:t>نخست، چرخش محتوایی در برخی آراء به سمت پذیرش حق تنظیم‌گری دولت و محدودسازی خوانش موسّع از</w:t>
      </w:r>
      <w:r w:rsidRPr="00AC1E9B">
        <w:rPr>
          <w:rFonts w:ascii="Times New Roman" w:hAnsi="Times New Roman" w:cs="B Nazanin"/>
          <w:sz w:val="20"/>
          <w:lang w:val="en-GB"/>
        </w:rPr>
        <w:t xml:space="preserve"> </w:t>
      </w:r>
      <w:r w:rsidR="00352F94" w:rsidRPr="00CB23A5">
        <w:rPr>
          <w:rFonts w:ascii="Times New Roman" w:hAnsi="Times New Roman" w:cs="B Nazanin" w:hint="cs"/>
          <w:sz w:val="20"/>
          <w:rtl/>
          <w:lang w:val="en-GB" w:bidi="ar-SA"/>
        </w:rPr>
        <w:t>مرکز</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بین‌المللی</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حل‌وفصل</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اختلافات</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سرمایه‌گذاری</w:t>
      </w:r>
      <w:r w:rsidR="00352F94" w:rsidRPr="00AC1E9B">
        <w:rPr>
          <w:rFonts w:ascii="Times New Roman" w:hAnsi="Times New Roman" w:cs="B Nazanin"/>
          <w:sz w:val="20"/>
          <w:rtl/>
          <w:lang w:val="en-GB" w:bidi="ar-SA"/>
        </w:rPr>
        <w:t xml:space="preserve"> </w:t>
      </w:r>
      <w:r w:rsidRPr="00AC1E9B">
        <w:rPr>
          <w:rFonts w:ascii="Times New Roman" w:hAnsi="Times New Roman" w:cs="B Nazanin"/>
          <w:sz w:val="20"/>
          <w:rtl/>
          <w:lang w:val="en-GB" w:bidi="ar-SA"/>
        </w:rPr>
        <w:t>؛</w:t>
      </w:r>
      <w:r w:rsidR="00352F94">
        <w:rPr>
          <w:rFonts w:ascii="Times New Roman" w:hAnsi="Times New Roman" w:cs="B Nazanin" w:hint="cs"/>
          <w:sz w:val="20"/>
          <w:rtl/>
          <w:lang w:val="en-GB" w:bidi="ar-SA"/>
        </w:rPr>
        <w:t xml:space="preserve"> </w:t>
      </w:r>
      <w:r w:rsidRPr="00AC1E9B">
        <w:rPr>
          <w:rFonts w:ascii="Times New Roman" w:hAnsi="Times New Roman" w:cs="B Nazanin"/>
          <w:sz w:val="20"/>
          <w:rtl/>
          <w:lang w:val="en-GB" w:bidi="ar-SA"/>
        </w:rPr>
        <w:t>دوم، عدم انسجام در سنجش خسارت که می‌تواند پیامدهای اقتصادی عظیمی برای دولت‌ها ایجاد کند</w:t>
      </w:r>
      <w:r w:rsidRPr="00AC1E9B">
        <w:rPr>
          <w:rFonts w:ascii="Times New Roman" w:hAnsi="Times New Roman" w:cs="B Nazanin"/>
          <w:sz w:val="20"/>
          <w:lang w:val="en-GB"/>
        </w:rPr>
        <w:t xml:space="preserve"> </w:t>
      </w:r>
      <w:r w:rsidR="005D28AA">
        <w:rPr>
          <w:rFonts w:ascii="Times New Roman" w:hAnsi="Times New Roman" w:cs="B Nazanin" w:hint="cs"/>
          <w:sz w:val="20"/>
          <w:rtl/>
          <w:lang w:val="en-GB"/>
        </w:rPr>
        <w:t xml:space="preserve">. </w:t>
      </w:r>
    </w:p>
    <w:p w14:paraId="1947C54B" w14:textId="33F8348A"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شاهد تحولی </w:t>
      </w:r>
      <w:r w:rsidR="00EF00C4">
        <w:rPr>
          <w:rFonts w:ascii="Times New Roman" w:hAnsi="Times New Roman" w:cs="B Nazanin" w:hint="cs"/>
          <w:sz w:val="20"/>
          <w:rtl/>
          <w:lang w:val="en-GB"/>
        </w:rPr>
        <w:t xml:space="preserve">یک: </w:t>
      </w:r>
      <w:r w:rsidRPr="00AC1E9B">
        <w:rPr>
          <w:rFonts w:ascii="Times New Roman" w:hAnsi="Times New Roman" w:cs="B Nazanin"/>
          <w:sz w:val="20"/>
          <w:rtl/>
          <w:lang w:val="en-GB" w:bidi="ar-SA"/>
        </w:rPr>
        <w:t>تحول محتوایی در</w:t>
      </w:r>
      <w:r w:rsidRPr="00AC1E9B">
        <w:rPr>
          <w:rFonts w:ascii="Times New Roman" w:hAnsi="Times New Roman" w:cs="B Nazanin"/>
          <w:sz w:val="20"/>
          <w:lang w:val="en-GB"/>
        </w:rPr>
        <w:t xml:space="preserve"> </w:t>
      </w:r>
      <w:r w:rsidR="00352F94" w:rsidRPr="00CB23A5">
        <w:rPr>
          <w:rFonts w:ascii="Times New Roman" w:hAnsi="Times New Roman" w:cs="B Nazanin" w:hint="cs"/>
          <w:sz w:val="20"/>
          <w:rtl/>
          <w:lang w:val="en-GB" w:bidi="ar-SA"/>
        </w:rPr>
        <w:t>مرکز</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بین‌المللی</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حل‌وفصل</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اختلافات</w:t>
      </w:r>
      <w:r w:rsidR="00352F94" w:rsidRPr="00CB23A5">
        <w:rPr>
          <w:rFonts w:ascii="Times New Roman" w:hAnsi="Times New Roman" w:cs="B Nazanin"/>
          <w:sz w:val="20"/>
          <w:rtl/>
          <w:lang w:val="en-GB" w:bidi="ar-SA"/>
        </w:rPr>
        <w:t xml:space="preserve"> </w:t>
      </w:r>
      <w:r w:rsidR="00352F94" w:rsidRPr="00CB23A5">
        <w:rPr>
          <w:rFonts w:ascii="Times New Roman" w:hAnsi="Times New Roman" w:cs="B Nazanin" w:hint="cs"/>
          <w:sz w:val="20"/>
          <w:rtl/>
          <w:lang w:val="en-GB" w:bidi="ar-SA"/>
        </w:rPr>
        <w:t>سرمایه‌گذاری</w:t>
      </w:r>
      <w:r w:rsidR="00352F94" w:rsidRPr="00AC1E9B">
        <w:rPr>
          <w:rFonts w:ascii="Times New Roman" w:hAnsi="Times New Roman" w:cs="B Nazanin"/>
          <w:sz w:val="20"/>
          <w:rtl/>
          <w:lang w:val="en-GB" w:bidi="ar-SA"/>
        </w:rPr>
        <w:t xml:space="preserve"> </w:t>
      </w:r>
      <w:r w:rsidRPr="00AC1E9B">
        <w:rPr>
          <w:rFonts w:ascii="Times New Roman" w:hAnsi="Times New Roman" w:cs="B Nazanin"/>
          <w:sz w:val="20"/>
          <w:rtl/>
          <w:lang w:val="en-GB" w:bidi="ar-SA"/>
        </w:rPr>
        <w:t>و حق تنظیم‌گری</w:t>
      </w:r>
    </w:p>
    <w:p w14:paraId="71687F2C" w14:textId="6B8CFA97" w:rsidR="00AC1E9B" w:rsidRPr="00AC1E9B" w:rsidRDefault="00AC1E9B" w:rsidP="00DD02C8">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رأی </w:t>
      </w:r>
      <w:r w:rsidR="00DD02C8" w:rsidRPr="00DD02C8">
        <w:rPr>
          <w:rFonts w:ascii="Times New Roman" w:hAnsi="Times New Roman" w:cs="B Nazanin"/>
          <w:sz w:val="20"/>
          <w:rtl/>
          <w:lang w:val="en-GB"/>
        </w:rPr>
        <w:t>فیلیپ موریس علیه اروگوئه</w:t>
      </w:r>
      <w:r w:rsidR="00DD02C8" w:rsidRPr="00DD02C8">
        <w:rPr>
          <w:rFonts w:ascii="Times New Roman" w:hAnsi="Times New Roman" w:cs="B Nazanin"/>
          <w:sz w:val="20"/>
          <w:rtl/>
          <w:lang w:val="en-GB" w:bidi="ar-SA"/>
        </w:rPr>
        <w:t xml:space="preserve"> </w:t>
      </w:r>
      <w:r w:rsidRPr="00AC1E9B">
        <w:rPr>
          <w:rFonts w:ascii="Times New Roman" w:hAnsi="Times New Roman" w:cs="B Nazanin"/>
          <w:sz w:val="20"/>
          <w:rtl/>
          <w:lang w:val="en-GB" w:bidi="ar-SA"/>
        </w:rPr>
        <w:t>نمونه‌ای از چرخش محتوایی است که در آن، هیئت داوری تأکید کرد سیاست‌های سلامت عمومی ذاتاً متغیرند و نمی‌توان انتظارات سرمایه‌گذار را به نحوی تفسیر کرد که دولت از تنظیم‌گری مشروع بازماند</w:t>
      </w:r>
      <w:r w:rsidRPr="00AC1E9B">
        <w:rPr>
          <w:rFonts w:ascii="Times New Roman" w:hAnsi="Times New Roman" w:cs="B Nazanin"/>
          <w:sz w:val="20"/>
          <w:lang w:val="en-GB"/>
        </w:rPr>
        <w:t xml:space="preserve"> (Philip Morris v. Uruguay, 2016, paras. 398–401). </w:t>
      </w:r>
      <w:r w:rsidR="00EF00C4">
        <w:rPr>
          <w:rFonts w:ascii="Times New Roman" w:hAnsi="Times New Roman" w:cs="B Nazanin" w:hint="cs"/>
          <w:sz w:val="20"/>
          <w:rtl/>
          <w:lang w:val="en-GB"/>
        </w:rPr>
        <w:t xml:space="preserve"> </w:t>
      </w:r>
      <w:r w:rsidRPr="00AC1E9B">
        <w:rPr>
          <w:rFonts w:ascii="Times New Roman" w:hAnsi="Times New Roman" w:cs="B Nazanin"/>
          <w:sz w:val="20"/>
          <w:rtl/>
          <w:lang w:val="en-GB" w:bidi="ar-SA"/>
        </w:rPr>
        <w:t xml:space="preserve">این رأی، به‌جای حمایت موسّع از سرمایه‌گذار، بر منطق تعادل میان حمایت و </w:t>
      </w:r>
      <w:r w:rsidRPr="00AC1E9B">
        <w:rPr>
          <w:rFonts w:ascii="Times New Roman" w:hAnsi="Times New Roman" w:cs="B Nazanin"/>
          <w:sz w:val="20"/>
          <w:rtl/>
          <w:lang w:val="en-GB" w:bidi="ar-SA"/>
        </w:rPr>
        <w:lastRenderedPageBreak/>
        <w:t>تنظیم‌گری استوار شد و از این حیث، یکی از شواهد مهم تحول محتوایی در داوری ایکسید محسوب می‌شود</w:t>
      </w:r>
      <w:r w:rsidRPr="00AC1E9B">
        <w:rPr>
          <w:rFonts w:ascii="Times New Roman" w:hAnsi="Times New Roman" w:cs="B Nazanin"/>
          <w:sz w:val="20"/>
          <w:lang w:val="en-GB"/>
        </w:rPr>
        <w:t xml:space="preserve"> (</w:t>
      </w:r>
      <w:proofErr w:type="spellStart"/>
      <w:r w:rsidRPr="00AC1E9B">
        <w:rPr>
          <w:rFonts w:ascii="Times New Roman" w:hAnsi="Times New Roman" w:cs="B Nazanin"/>
          <w:sz w:val="20"/>
          <w:lang w:val="en-GB"/>
        </w:rPr>
        <w:t>Sornarajah</w:t>
      </w:r>
      <w:proofErr w:type="spellEnd"/>
      <w:r w:rsidRPr="00AC1E9B">
        <w:rPr>
          <w:rFonts w:ascii="Times New Roman" w:hAnsi="Times New Roman" w:cs="B Nazanin"/>
          <w:sz w:val="20"/>
          <w:lang w:val="en-GB"/>
        </w:rPr>
        <w:t>, 2021).</w:t>
      </w:r>
    </w:p>
    <w:p w14:paraId="50E3AC46" w14:textId="22CE9DEB"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شاهد تحولی </w:t>
      </w:r>
      <w:r w:rsidR="00EF00C4">
        <w:rPr>
          <w:rFonts w:ascii="Times New Roman" w:hAnsi="Times New Roman" w:cs="B Nazanin" w:hint="cs"/>
          <w:sz w:val="20"/>
          <w:rtl/>
          <w:lang w:val="en-GB"/>
        </w:rPr>
        <w:t>دو</w:t>
      </w:r>
      <w:r w:rsidRPr="00AC1E9B">
        <w:rPr>
          <w:rFonts w:ascii="Times New Roman" w:hAnsi="Times New Roman" w:cs="B Nazanin"/>
          <w:sz w:val="20"/>
          <w:rtl/>
          <w:lang w:val="en-GB"/>
        </w:rPr>
        <w:t xml:space="preserve"> (</w:t>
      </w:r>
      <w:r w:rsidRPr="00AC1E9B">
        <w:rPr>
          <w:rFonts w:ascii="Times New Roman" w:hAnsi="Times New Roman" w:cs="B Nazanin"/>
          <w:sz w:val="20"/>
          <w:rtl/>
          <w:lang w:val="en-GB" w:bidi="ar-SA"/>
        </w:rPr>
        <w:t>بحران خسارت و پیامدهای مشروعیتی)</w:t>
      </w:r>
    </w:p>
    <w:p w14:paraId="4954EBD8" w14:textId="758295D1"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پرونده </w:t>
      </w:r>
      <w:r w:rsidR="00EF00C4" w:rsidRPr="00EF00C4">
        <w:rPr>
          <w:rFonts w:ascii="Times New Roman" w:hAnsi="Times New Roman" w:cs="B Nazanin" w:hint="cs"/>
          <w:sz w:val="20"/>
          <w:rtl/>
          <w:lang w:val="en-GB"/>
        </w:rPr>
        <w:t>تِثیان</w:t>
      </w:r>
      <w:r w:rsidR="00EF00C4" w:rsidRPr="00EF00C4">
        <w:rPr>
          <w:rFonts w:ascii="Times New Roman" w:hAnsi="Times New Roman" w:cs="B Nazanin"/>
          <w:sz w:val="20"/>
          <w:rtl/>
          <w:lang w:val="en-GB"/>
        </w:rPr>
        <w:t xml:space="preserve"> </w:t>
      </w:r>
      <w:r w:rsidR="00EF00C4" w:rsidRPr="00EF00C4">
        <w:rPr>
          <w:rFonts w:ascii="Times New Roman" w:hAnsi="Times New Roman" w:cs="B Nazanin" w:hint="cs"/>
          <w:sz w:val="20"/>
          <w:rtl/>
          <w:lang w:val="en-GB"/>
        </w:rPr>
        <w:t>کاپر</w:t>
      </w:r>
      <w:r w:rsidR="00EF00C4" w:rsidRPr="00EF00C4">
        <w:rPr>
          <w:rFonts w:ascii="Times New Roman" w:hAnsi="Times New Roman" w:cs="B Nazanin"/>
          <w:sz w:val="20"/>
          <w:rtl/>
          <w:lang w:val="en-GB"/>
        </w:rPr>
        <w:t xml:space="preserve"> </w:t>
      </w:r>
      <w:r w:rsidR="00EF00C4" w:rsidRPr="00EF00C4">
        <w:rPr>
          <w:rFonts w:ascii="Times New Roman" w:hAnsi="Times New Roman" w:cs="B Nazanin" w:hint="cs"/>
          <w:sz w:val="20"/>
          <w:rtl/>
          <w:lang w:val="en-GB"/>
        </w:rPr>
        <w:t>علیه</w:t>
      </w:r>
      <w:r w:rsidR="00EF00C4" w:rsidRPr="00EF00C4">
        <w:rPr>
          <w:rFonts w:ascii="Times New Roman" w:hAnsi="Times New Roman" w:cs="B Nazanin"/>
          <w:sz w:val="20"/>
          <w:rtl/>
          <w:lang w:val="en-GB"/>
        </w:rPr>
        <w:t xml:space="preserve"> </w:t>
      </w:r>
      <w:r w:rsidR="00EF00C4" w:rsidRPr="00EF00C4">
        <w:rPr>
          <w:rFonts w:ascii="Times New Roman" w:hAnsi="Times New Roman" w:cs="B Nazanin" w:hint="cs"/>
          <w:sz w:val="20"/>
          <w:rtl/>
          <w:lang w:val="en-GB"/>
        </w:rPr>
        <w:t>پاکستان</w:t>
      </w:r>
      <w:r w:rsidR="00EF00C4">
        <w:rPr>
          <w:rFonts w:ascii="Times New Roman" w:hAnsi="Times New Roman" w:cs="B Nazanin" w:hint="cs"/>
          <w:sz w:val="20"/>
          <w:rtl/>
          <w:lang w:val="en-GB"/>
        </w:rPr>
        <w:t xml:space="preserve"> </w:t>
      </w:r>
      <w:r w:rsidRPr="00AC1E9B">
        <w:rPr>
          <w:rFonts w:ascii="Times New Roman" w:hAnsi="Times New Roman" w:cs="B Nazanin"/>
          <w:sz w:val="20"/>
          <w:rtl/>
          <w:lang w:val="en-GB" w:bidi="ar-SA"/>
        </w:rPr>
        <w:t>از منظر مشروعیت محتوایی به دلیل ابعاد مالی و پیامدهای اقتصادی رأی اهمیت دارد. رأی صادره با خسارتی بسیار سنگین، داوری سرمایه‌گذاری را از سطح اختلاف حقوقی فراتر برد و آن را به مسئله‌ای در سطح حکمرانی اقتصادی تبدیل کرد</w:t>
      </w:r>
      <w:r w:rsidRPr="00AC1E9B">
        <w:rPr>
          <w:rFonts w:ascii="Times New Roman" w:hAnsi="Times New Roman" w:cs="B Nazanin"/>
          <w:sz w:val="20"/>
          <w:lang w:val="en-GB"/>
        </w:rPr>
        <w:t xml:space="preserve"> (Tethyan Copper v. Pakistan, 2019). </w:t>
      </w:r>
      <w:r w:rsidRPr="00AC1E9B">
        <w:rPr>
          <w:rFonts w:ascii="Times New Roman" w:hAnsi="Times New Roman" w:cs="B Nazanin"/>
          <w:sz w:val="20"/>
          <w:rtl/>
          <w:lang w:val="en-GB" w:bidi="ar-SA"/>
        </w:rPr>
        <w:t>این پرونده نشان می‌دهد که حتی اگر استانداردهای حمایتی احراز شوند، شیوه سنجش خسارت می‌تواند مشروعیت داوری را تحت تأثیر قرار دهد و دولت‌ها را به سمت راه‌حل‌های سیاسی یا تسویه پسینی سوق دهد</w:t>
      </w:r>
      <w:r w:rsidRPr="00AC1E9B">
        <w:rPr>
          <w:rFonts w:ascii="Times New Roman" w:hAnsi="Times New Roman" w:cs="B Nazanin"/>
          <w:sz w:val="20"/>
          <w:lang w:val="en-GB"/>
        </w:rPr>
        <w:t xml:space="preserve"> </w:t>
      </w:r>
      <w:r w:rsidR="00EF00C4">
        <w:rPr>
          <w:rFonts w:ascii="Times New Roman" w:hAnsi="Times New Roman" w:cs="B Nazanin" w:hint="cs"/>
          <w:sz w:val="20"/>
          <w:rtl/>
          <w:lang w:val="en-GB"/>
        </w:rPr>
        <w:t>.</w:t>
      </w:r>
    </w:p>
    <w:p w14:paraId="59E8A551" w14:textId="77777777"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شاهد تحولی </w:t>
      </w:r>
      <w:r w:rsidRPr="00AC1E9B">
        <w:rPr>
          <w:rFonts w:ascii="Times New Roman" w:hAnsi="Times New Roman" w:cs="B Nazanin"/>
          <w:sz w:val="20"/>
          <w:rtl/>
          <w:lang w:val="en-GB"/>
        </w:rPr>
        <w:t>۳ (</w:t>
      </w:r>
      <w:r w:rsidRPr="00AC1E9B">
        <w:rPr>
          <w:rFonts w:ascii="Times New Roman" w:hAnsi="Times New Roman" w:cs="B Nazanin"/>
          <w:sz w:val="20"/>
          <w:rtl/>
          <w:lang w:val="en-GB" w:bidi="ar-SA"/>
        </w:rPr>
        <w:t>گسترش افق محتوایی داوری)</w:t>
      </w:r>
    </w:p>
    <w:p w14:paraId="4D1B0B30" w14:textId="2DBA712E" w:rsidR="00AC1E9B" w:rsidRPr="00AC1E9B" w:rsidRDefault="00AC1E9B" w:rsidP="00DD02C8">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در </w:t>
      </w:r>
      <w:r w:rsidR="00DD02C8">
        <w:rPr>
          <w:rFonts w:ascii="Times New Roman" w:hAnsi="Times New Roman" w:cs="B Nazanin" w:hint="cs"/>
          <w:sz w:val="20"/>
          <w:rtl/>
          <w:lang w:val="en-GB"/>
        </w:rPr>
        <w:t xml:space="preserve">قضیه </w:t>
      </w:r>
      <w:r w:rsidR="00DD02C8" w:rsidRPr="00DD02C8">
        <w:rPr>
          <w:rFonts w:ascii="Times New Roman" w:hAnsi="Times New Roman" w:cs="B Nazanin"/>
          <w:sz w:val="20"/>
          <w:rtl/>
          <w:lang w:val="en-GB"/>
        </w:rPr>
        <w:t>اورباسر علیه آرژانتین</w:t>
      </w:r>
      <w:r w:rsidR="00DD02C8">
        <w:rPr>
          <w:rFonts w:ascii="Times New Roman" w:hAnsi="Times New Roman" w:cs="B Nazanin" w:hint="cs"/>
          <w:sz w:val="20"/>
          <w:rtl/>
          <w:lang w:val="en-GB" w:bidi="ar-SA"/>
        </w:rPr>
        <w:t xml:space="preserve">، </w:t>
      </w:r>
      <w:r w:rsidRPr="00AC1E9B">
        <w:rPr>
          <w:rFonts w:ascii="Times New Roman" w:hAnsi="Times New Roman" w:cs="B Nazanin"/>
          <w:sz w:val="20"/>
          <w:rtl/>
          <w:lang w:val="en-GB" w:bidi="ar-SA"/>
        </w:rPr>
        <w:t>هیئت داوری امکان طرح دعوای متقابل دولت را پذیرفت و از این طریق، مسیر تعامل میان حقوق سرمایه‌گذاری و حقوق بشر را گشود</w:t>
      </w:r>
      <w:r w:rsidRPr="00AC1E9B">
        <w:rPr>
          <w:rFonts w:ascii="Times New Roman" w:hAnsi="Times New Roman" w:cs="B Nazanin"/>
          <w:sz w:val="20"/>
          <w:lang w:val="en-GB"/>
        </w:rPr>
        <w:t xml:space="preserve"> (Urbaser v. Argentina, 2016). </w:t>
      </w:r>
      <w:r w:rsidRPr="00AC1E9B">
        <w:rPr>
          <w:rFonts w:ascii="Times New Roman" w:hAnsi="Times New Roman" w:cs="B Nazanin"/>
          <w:sz w:val="20"/>
          <w:rtl/>
          <w:lang w:val="en-GB" w:bidi="ar-SA"/>
        </w:rPr>
        <w:t>این رأی نشان داد که داوری سرمایه‌گذاری به‌تدریج از مدل یک‌جانبه حمایت از سرمایه‌گذار فاصله می‌گیرد و ظرفیت ورود ملاحظات فرابخشی را پیدا می‌کند</w:t>
      </w:r>
      <w:r w:rsidRPr="00AC1E9B">
        <w:rPr>
          <w:rFonts w:ascii="Times New Roman" w:hAnsi="Times New Roman" w:cs="B Nazanin"/>
          <w:sz w:val="20"/>
          <w:lang w:val="en-GB"/>
        </w:rPr>
        <w:t xml:space="preserve"> </w:t>
      </w:r>
    </w:p>
    <w:p w14:paraId="20C97E10" w14:textId="2F62DC0B"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rPr>
        <w:t>۴</w:t>
      </w:r>
      <w:r w:rsidRPr="00AC1E9B">
        <w:rPr>
          <w:rFonts w:ascii="Times New Roman" w:hAnsi="Times New Roman" w:cs="B Nazanin"/>
          <w:sz w:val="20"/>
          <w:lang w:val="en-GB"/>
        </w:rPr>
        <w:t>–</w:t>
      </w:r>
      <w:r w:rsidRPr="00AC1E9B">
        <w:rPr>
          <w:rFonts w:ascii="Times New Roman" w:hAnsi="Times New Roman" w:cs="B Nazanin"/>
          <w:sz w:val="20"/>
          <w:rtl/>
          <w:lang w:val="en-GB"/>
        </w:rPr>
        <w:t>۴</w:t>
      </w:r>
      <w:r w:rsidR="009B0DF4">
        <w:rPr>
          <w:rFonts w:ascii="Times New Roman" w:hAnsi="Times New Roman" w:cs="B Nazanin" w:hint="cs"/>
          <w:sz w:val="20"/>
          <w:rtl/>
          <w:lang w:val="en-GB"/>
        </w:rPr>
        <w:t>-</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 xml:space="preserve">اصلاحات </w:t>
      </w:r>
      <w:r w:rsidRPr="00AC1E9B">
        <w:rPr>
          <w:rFonts w:ascii="Times New Roman" w:hAnsi="Times New Roman" w:cs="B Nazanin"/>
          <w:sz w:val="20"/>
          <w:rtl/>
          <w:lang w:val="en-GB"/>
        </w:rPr>
        <w:t xml:space="preserve">۲۰۲۲: </w:t>
      </w:r>
      <w:r w:rsidRPr="00AC1E9B">
        <w:rPr>
          <w:rFonts w:ascii="Times New Roman" w:hAnsi="Times New Roman" w:cs="B Nazanin"/>
          <w:sz w:val="20"/>
          <w:rtl/>
          <w:lang w:val="en-GB" w:bidi="ar-SA"/>
        </w:rPr>
        <w:t>پاسخ‌های نهادی و مرزهای اثرگذاری</w:t>
      </w:r>
    </w:p>
    <w:p w14:paraId="6CF5F132" w14:textId="77777777"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اصلاحات </w:t>
      </w:r>
      <w:r w:rsidRPr="00AC1E9B">
        <w:rPr>
          <w:rFonts w:ascii="Times New Roman" w:hAnsi="Times New Roman" w:cs="B Nazanin"/>
          <w:sz w:val="20"/>
          <w:rtl/>
          <w:lang w:val="en-GB"/>
        </w:rPr>
        <w:t>۲۰۲۲</w:t>
      </w:r>
      <w:r w:rsidRPr="00AC1E9B">
        <w:rPr>
          <w:rFonts w:ascii="Times New Roman" w:hAnsi="Times New Roman" w:cs="B Nazanin"/>
          <w:sz w:val="20"/>
          <w:rtl/>
          <w:lang w:val="en-GB" w:bidi="ar-SA"/>
        </w:rPr>
        <w:t xml:space="preserve"> در سطح فرایندی نقش قابل توجهی در ارتقای شفافیت، مدیریت زمان و کاهش هزینه‌ها دارند</w:t>
      </w:r>
      <w:r w:rsidRPr="00AC1E9B">
        <w:rPr>
          <w:rFonts w:ascii="Times New Roman" w:hAnsi="Times New Roman" w:cs="B Nazanin"/>
          <w:sz w:val="20"/>
          <w:lang w:val="en-GB"/>
        </w:rPr>
        <w:t xml:space="preserve"> (ICSID Arbitration Rules, 2022; ICSID Secretariat, 2022). </w:t>
      </w:r>
      <w:r w:rsidRPr="00AC1E9B">
        <w:rPr>
          <w:rFonts w:ascii="Times New Roman" w:hAnsi="Times New Roman" w:cs="B Nazanin"/>
          <w:sz w:val="20"/>
          <w:rtl/>
          <w:lang w:val="en-GB" w:bidi="ar-SA"/>
        </w:rPr>
        <w:t>اما در سطح ساختاری و محتوایی، این اصلاحات به تنهایی کافی نیستند، زیرا</w:t>
      </w:r>
      <w:r w:rsidRPr="00AC1E9B">
        <w:rPr>
          <w:rFonts w:ascii="Times New Roman" w:hAnsi="Times New Roman" w:cs="B Nazanin"/>
          <w:sz w:val="20"/>
          <w:lang w:val="en-GB"/>
        </w:rPr>
        <w:t>:</w:t>
      </w:r>
    </w:p>
    <w:p w14:paraId="3232ECA6" w14:textId="6494CE18" w:rsidR="00AC1E9B" w:rsidRPr="00AC1E9B" w:rsidRDefault="00AC1E9B" w:rsidP="0081613D">
      <w:pPr>
        <w:numPr>
          <w:ilvl w:val="0"/>
          <w:numId w:val="28"/>
        </w:num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استیناف ماهوی ایجاد نشده و کنترل رأی همچنان عمدتاً شکلی است</w:t>
      </w:r>
      <w:r w:rsidRPr="00AC1E9B">
        <w:rPr>
          <w:rFonts w:ascii="Times New Roman" w:hAnsi="Times New Roman" w:cs="B Nazanin"/>
          <w:sz w:val="20"/>
          <w:lang w:val="en-GB"/>
        </w:rPr>
        <w:t xml:space="preserve"> </w:t>
      </w:r>
    </w:p>
    <w:p w14:paraId="66AD5BEB" w14:textId="627E3A22" w:rsidR="00AC1E9B" w:rsidRPr="00AC1E9B" w:rsidRDefault="00AC1E9B" w:rsidP="0081613D">
      <w:pPr>
        <w:numPr>
          <w:ilvl w:val="0"/>
          <w:numId w:val="28"/>
        </w:num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ناهمگونی تفسیری در استانداردهای حمایتی همچنان تابع رویکردهای متفاوت هیئت‌ها باقی مانده است</w:t>
      </w:r>
      <w:r w:rsidRPr="00AC1E9B">
        <w:rPr>
          <w:rFonts w:ascii="Times New Roman" w:hAnsi="Times New Roman" w:cs="B Nazanin"/>
          <w:sz w:val="20"/>
          <w:lang w:val="en-GB"/>
        </w:rPr>
        <w:t xml:space="preserve"> .</w:t>
      </w:r>
    </w:p>
    <w:p w14:paraId="23AC2861" w14:textId="14246F2A" w:rsidR="00AC1E9B" w:rsidRPr="00AC1E9B" w:rsidRDefault="00AC1E9B" w:rsidP="0081613D">
      <w:pPr>
        <w:numPr>
          <w:ilvl w:val="0"/>
          <w:numId w:val="28"/>
        </w:num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اصلاحات بیش از آنکه تحول محتوایی جدید ایجاد کنند، تلاش کرده‌اند تحولاتی را که در رویه‌های متأخر شکل گرفته، تثبیت و مدیریت‌پذیر کنند</w:t>
      </w:r>
      <w:r w:rsidRPr="00AC1E9B">
        <w:rPr>
          <w:rFonts w:ascii="Times New Roman" w:hAnsi="Times New Roman" w:cs="B Nazanin"/>
          <w:sz w:val="20"/>
          <w:lang w:val="en-GB"/>
        </w:rPr>
        <w:t xml:space="preserve"> </w:t>
      </w:r>
      <w:r w:rsidR="00572DF8">
        <w:rPr>
          <w:rFonts w:ascii="Times New Roman" w:hAnsi="Times New Roman" w:cs="B Nazanin" w:hint="cs"/>
          <w:sz w:val="20"/>
          <w:rtl/>
          <w:lang w:val="en-GB"/>
        </w:rPr>
        <w:t>.</w:t>
      </w:r>
    </w:p>
    <w:p w14:paraId="1E95DB32" w14:textId="3BB36D7F"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بنابراین، اصلاحات </w:t>
      </w:r>
      <w:r w:rsidRPr="00AC1E9B">
        <w:rPr>
          <w:rFonts w:ascii="Times New Roman" w:hAnsi="Times New Roman" w:cs="B Nazanin"/>
          <w:sz w:val="20"/>
          <w:rtl/>
          <w:lang w:val="en-GB"/>
        </w:rPr>
        <w:t>۲۰۲۲</w:t>
      </w:r>
      <w:r w:rsidRPr="00AC1E9B">
        <w:rPr>
          <w:rFonts w:ascii="Times New Roman" w:hAnsi="Times New Roman" w:cs="B Nazanin"/>
          <w:sz w:val="20"/>
          <w:rtl/>
          <w:lang w:val="en-GB" w:bidi="ar-SA"/>
        </w:rPr>
        <w:t xml:space="preserve"> را باید «اصلاحات ترمیمی و نهادی‌ساز» دانست: اصلاحاتی که در سطح فرایندی اثرگذارند، اما برای حل بحران مشروعیت در سطح ساختاری و محتوایی کافی نیستند</w:t>
      </w:r>
      <w:r w:rsidRPr="00AC1E9B">
        <w:rPr>
          <w:rFonts w:ascii="Times New Roman" w:hAnsi="Times New Roman" w:cs="B Nazanin"/>
          <w:sz w:val="20"/>
          <w:lang w:val="en-GB"/>
        </w:rPr>
        <w:t xml:space="preserve"> </w:t>
      </w:r>
    </w:p>
    <w:p w14:paraId="050C0815" w14:textId="28A7BB04" w:rsidR="00AC1E9B" w:rsidRPr="00AC1E9B" w:rsidRDefault="00AC1E9B" w:rsidP="0081613D">
      <w:pPr>
        <w:bidi/>
        <w:spacing w:after="0" w:line="276" w:lineRule="auto"/>
        <w:jc w:val="both"/>
        <w:rPr>
          <w:rFonts w:ascii="Times New Roman" w:hAnsi="Times New Roman" w:cs="B Nazanin"/>
          <w:sz w:val="20"/>
          <w:lang w:val="en-GB"/>
        </w:rPr>
      </w:pPr>
      <w:r w:rsidRPr="00AC1E9B">
        <w:rPr>
          <w:rFonts w:ascii="Times New Roman" w:hAnsi="Times New Roman" w:cs="B Nazanin"/>
          <w:sz w:val="20"/>
          <w:rtl/>
          <w:lang w:val="en-GB" w:bidi="ar-SA"/>
        </w:rPr>
        <w:t xml:space="preserve">بحران مشروعیت داوری سرمایه‌گذاری در ایکسید حاصل هم‌پوشانی سه سطح فرایندی، ساختاری و محتوایی است. اصلاحات </w:t>
      </w:r>
      <w:r w:rsidRPr="00AC1E9B">
        <w:rPr>
          <w:rFonts w:ascii="Times New Roman" w:hAnsi="Times New Roman" w:cs="B Nazanin"/>
          <w:sz w:val="20"/>
          <w:rtl/>
          <w:lang w:val="en-GB"/>
        </w:rPr>
        <w:t>۲۰۲۲</w:t>
      </w:r>
      <w:r w:rsidRPr="00AC1E9B">
        <w:rPr>
          <w:rFonts w:ascii="Times New Roman" w:hAnsi="Times New Roman" w:cs="B Nazanin"/>
          <w:sz w:val="20"/>
          <w:rtl/>
          <w:lang w:val="en-GB" w:bidi="ar-SA"/>
        </w:rPr>
        <w:t xml:space="preserve"> عمدتاً در سطح فرایندی پاسخ داده‌اند و ظرفیت پاسخ‌گویی عمومی و کارآمدی را افزایش داده‌اند</w:t>
      </w:r>
      <w:r w:rsidRPr="00AC1E9B">
        <w:rPr>
          <w:rFonts w:ascii="Times New Roman" w:hAnsi="Times New Roman" w:cs="B Nazanin"/>
          <w:sz w:val="20"/>
          <w:lang w:val="en-GB"/>
        </w:rPr>
        <w:t xml:space="preserve"> (ICSID Arbitration Rules, 2022). </w:t>
      </w:r>
      <w:r w:rsidRPr="00AC1E9B">
        <w:rPr>
          <w:rFonts w:ascii="Times New Roman" w:hAnsi="Times New Roman" w:cs="B Nazanin"/>
          <w:sz w:val="20"/>
          <w:rtl/>
          <w:lang w:val="en-GB" w:bidi="ar-SA"/>
        </w:rPr>
        <w:t>اما خلأهای ساختاری مانند نبود استیناف ماهوی و استمرار ناهمگونی تفسیری در استانداردهای حمایتی همچنان باقی است</w:t>
      </w:r>
      <w:r w:rsidRPr="00AC1E9B">
        <w:rPr>
          <w:rFonts w:ascii="Times New Roman" w:hAnsi="Times New Roman" w:cs="B Nazanin"/>
          <w:sz w:val="20"/>
          <w:lang w:val="en-GB"/>
        </w:rPr>
        <w:t xml:space="preserve">. </w:t>
      </w:r>
      <w:r w:rsidRPr="00AC1E9B">
        <w:rPr>
          <w:rFonts w:ascii="Times New Roman" w:hAnsi="Times New Roman" w:cs="B Nazanin"/>
          <w:sz w:val="20"/>
          <w:rtl/>
          <w:lang w:val="en-GB" w:bidi="ar-SA"/>
        </w:rPr>
        <w:t>شواهد رویه‌ای منتخب نشان می‌دهد که تحول محتوایی در داوری سرمایه‌گذاری آغاز شده و در برخی آراء تثبیت شده است، اما این تحول هنوز به انسجام نهادی پایدار نرسیده است</w:t>
      </w:r>
      <w:r w:rsidRPr="00AC1E9B">
        <w:rPr>
          <w:rFonts w:ascii="Times New Roman" w:hAnsi="Times New Roman" w:cs="B Nazanin"/>
          <w:sz w:val="20"/>
          <w:lang w:val="en-GB"/>
        </w:rPr>
        <w:t xml:space="preserve"> (Philip Morris v. Uruguay, 2016, paras. 295–302).</w:t>
      </w:r>
    </w:p>
    <w:p w14:paraId="30029468" w14:textId="77777777" w:rsidR="00DF39AA" w:rsidRPr="00DF39AA" w:rsidRDefault="00DF39AA" w:rsidP="0081613D">
      <w:pPr>
        <w:bidi/>
        <w:spacing w:after="0" w:line="276" w:lineRule="auto"/>
        <w:jc w:val="both"/>
        <w:rPr>
          <w:rFonts w:ascii="Times New Roman" w:hAnsi="Times New Roman" w:cs="B Nazanin"/>
          <w:b/>
          <w:bCs/>
          <w:vanish/>
          <w:sz w:val="20"/>
          <w:lang w:val="en-GB"/>
        </w:rPr>
      </w:pPr>
      <w:r w:rsidRPr="00DF39AA">
        <w:rPr>
          <w:rFonts w:ascii="Times New Roman" w:hAnsi="Times New Roman" w:cs="B Nazanin"/>
          <w:b/>
          <w:bCs/>
          <w:vanish/>
          <w:sz w:val="20"/>
          <w:lang w:val="en-GB"/>
        </w:rPr>
        <w:t>Top of Form</w:t>
      </w:r>
    </w:p>
    <w:p w14:paraId="6E042AA0" w14:textId="77777777" w:rsidR="00DF39AA" w:rsidRPr="00DF39AA" w:rsidRDefault="00DF39AA" w:rsidP="0081613D">
      <w:pPr>
        <w:bidi/>
        <w:spacing w:after="0" w:line="276" w:lineRule="auto"/>
        <w:jc w:val="both"/>
        <w:rPr>
          <w:rFonts w:ascii="Times New Roman" w:hAnsi="Times New Roman" w:cs="B Nazanin"/>
          <w:b/>
          <w:bCs/>
          <w:sz w:val="20"/>
          <w:lang w:val="en-GB"/>
        </w:rPr>
      </w:pPr>
    </w:p>
    <w:p w14:paraId="30E43BF4" w14:textId="77777777" w:rsidR="00DF39AA" w:rsidRPr="00DF39AA" w:rsidRDefault="00DF39AA" w:rsidP="0081613D">
      <w:pPr>
        <w:bidi/>
        <w:spacing w:after="0" w:line="276" w:lineRule="auto"/>
        <w:jc w:val="both"/>
        <w:rPr>
          <w:rFonts w:ascii="Times New Roman" w:hAnsi="Times New Roman" w:cs="B Nazanin"/>
          <w:b/>
          <w:bCs/>
          <w:vanish/>
          <w:sz w:val="20"/>
          <w:lang w:val="en-GB"/>
        </w:rPr>
      </w:pPr>
      <w:r w:rsidRPr="00DF39AA">
        <w:rPr>
          <w:rFonts w:ascii="Times New Roman" w:hAnsi="Times New Roman" w:cs="B Nazanin"/>
          <w:b/>
          <w:bCs/>
          <w:vanish/>
          <w:sz w:val="20"/>
          <w:lang w:val="en-GB"/>
        </w:rPr>
        <w:t>Bottom of Form</w:t>
      </w:r>
    </w:p>
    <w:p w14:paraId="39A9B8D4" w14:textId="029D067B" w:rsidR="00DF39AA" w:rsidRDefault="00AC1E9B" w:rsidP="0081613D">
      <w:pPr>
        <w:bidi/>
        <w:spacing w:after="0" w:line="276" w:lineRule="auto"/>
        <w:jc w:val="both"/>
        <w:rPr>
          <w:rFonts w:ascii="Times New Roman" w:hAnsi="Times New Roman" w:cs="B Nazanin"/>
          <w:b/>
          <w:bCs/>
          <w:sz w:val="20"/>
          <w:lang w:val="en-GB"/>
        </w:rPr>
      </w:pPr>
      <w:r>
        <w:rPr>
          <w:rFonts w:ascii="Times New Roman" w:hAnsi="Times New Roman" w:cs="B Nazanin" w:hint="cs"/>
          <w:b/>
          <w:bCs/>
          <w:sz w:val="20"/>
          <w:rtl/>
          <w:lang w:val="en-GB"/>
        </w:rPr>
        <w:t>نتیجه گیری و پیشنهدات:</w:t>
      </w:r>
    </w:p>
    <w:p w14:paraId="4FB6B9FA" w14:textId="77777777" w:rsidR="00254DAB" w:rsidRPr="00254DAB" w:rsidRDefault="00254DAB" w:rsidP="0081613D">
      <w:pPr>
        <w:bidi/>
        <w:spacing w:after="0" w:line="276" w:lineRule="auto"/>
        <w:jc w:val="both"/>
        <w:rPr>
          <w:rFonts w:ascii="Times New Roman" w:hAnsi="Times New Roman" w:cs="B Nazanin"/>
          <w:sz w:val="20"/>
          <w:lang w:val="en-GB"/>
        </w:rPr>
      </w:pPr>
      <w:r w:rsidRPr="00254DAB">
        <w:rPr>
          <w:rFonts w:ascii="Times New Roman" w:hAnsi="Times New Roman" w:cs="B Nazanin"/>
          <w:sz w:val="20"/>
          <w:rtl/>
          <w:lang w:val="en-GB" w:bidi="ar-SA"/>
        </w:rPr>
        <w:t xml:space="preserve">اصلاحات </w:t>
      </w:r>
      <w:r w:rsidRPr="00254DAB">
        <w:rPr>
          <w:rFonts w:ascii="Times New Roman" w:hAnsi="Times New Roman" w:cs="B Nazanin"/>
          <w:sz w:val="20"/>
          <w:rtl/>
          <w:lang w:val="en-GB"/>
        </w:rPr>
        <w:t>۲۰۲۲</w:t>
      </w:r>
      <w:r w:rsidRPr="00254DAB">
        <w:rPr>
          <w:rFonts w:ascii="Times New Roman" w:hAnsi="Times New Roman" w:cs="B Nazanin"/>
          <w:sz w:val="20"/>
          <w:rtl/>
          <w:lang w:val="en-GB" w:bidi="ar-SA"/>
        </w:rPr>
        <w:t xml:space="preserve"> ایکسید را نمی‌توان صرفاً مجموعه‌ای از تغییرات فنی و آیین‌محور در قواعد رسیدگی تلقی کرد، بلکه این اصلاحات در امتداد یک تحول عمیق‌تر در داوری سرمایه‌گذاری قرار می‌گیرند؛ تحولی که طی آن، داوری سرمایه‌گذاری به‌تدریج از منطق «حمایت‌محور» به سمت رویکردی «تعادل‌محور» حرکت کرده است. اهمیت این چرخش در آن است که اختلافات سرمایه‌گذاری در بسیاری موارد از سطح منازعات اقتصادی فراتر رفته و با حوزه‌هایی مانند سلامت عمومی، محیط زیست، </w:t>
      </w:r>
      <w:r w:rsidRPr="00254DAB">
        <w:rPr>
          <w:rFonts w:ascii="Times New Roman" w:hAnsi="Times New Roman" w:cs="B Nazanin"/>
          <w:sz w:val="20"/>
          <w:rtl/>
          <w:lang w:val="en-GB" w:bidi="ar-SA"/>
        </w:rPr>
        <w:lastRenderedPageBreak/>
        <w:t xml:space="preserve">سیاست‌گذاری اقتصادی و حکمرانی عمومی پیوند خورده‌اند. بنابراین، ارزیابی اصلاحات </w:t>
      </w:r>
      <w:r w:rsidRPr="00254DAB">
        <w:rPr>
          <w:rFonts w:ascii="Times New Roman" w:hAnsi="Times New Roman" w:cs="B Nazanin"/>
          <w:sz w:val="20"/>
          <w:rtl/>
          <w:lang w:val="en-GB"/>
        </w:rPr>
        <w:t>۲۰۲۲</w:t>
      </w:r>
      <w:r w:rsidRPr="00254DAB">
        <w:rPr>
          <w:rFonts w:ascii="Times New Roman" w:hAnsi="Times New Roman" w:cs="B Nazanin"/>
          <w:sz w:val="20"/>
          <w:rtl/>
          <w:lang w:val="en-GB" w:bidi="ar-SA"/>
        </w:rPr>
        <w:t xml:space="preserve"> تنها زمانی معنادار خواهد بود که آثار آن‌ها در بازتعریف معیارهای مشروعیت، پاسخ‌گویی و توازن دولت و سرمایه‌گذار سنجیده شود</w:t>
      </w:r>
      <w:r w:rsidRPr="00254DAB">
        <w:rPr>
          <w:rFonts w:ascii="Times New Roman" w:hAnsi="Times New Roman" w:cs="B Nazanin"/>
          <w:sz w:val="20"/>
          <w:lang w:val="en-GB"/>
        </w:rPr>
        <w:t>.</w:t>
      </w:r>
    </w:p>
    <w:p w14:paraId="30099206" w14:textId="77777777" w:rsidR="00254DAB" w:rsidRPr="00254DAB" w:rsidRDefault="00254DAB" w:rsidP="0081613D">
      <w:pPr>
        <w:bidi/>
        <w:spacing w:after="0" w:line="276" w:lineRule="auto"/>
        <w:jc w:val="both"/>
        <w:rPr>
          <w:rFonts w:ascii="Times New Roman" w:hAnsi="Times New Roman" w:cs="B Nazanin"/>
          <w:sz w:val="20"/>
          <w:lang w:val="en-GB"/>
        </w:rPr>
      </w:pPr>
      <w:r w:rsidRPr="00254DAB">
        <w:rPr>
          <w:rFonts w:ascii="Times New Roman" w:hAnsi="Times New Roman" w:cs="B Nazanin"/>
          <w:sz w:val="20"/>
          <w:rtl/>
          <w:lang w:val="en-GB" w:bidi="ar-SA"/>
        </w:rPr>
        <w:t xml:space="preserve">نتایج تحلیل نشان می‌دهد که اصلاحات </w:t>
      </w:r>
      <w:r w:rsidRPr="00254DAB">
        <w:rPr>
          <w:rFonts w:ascii="Times New Roman" w:hAnsi="Times New Roman" w:cs="B Nazanin"/>
          <w:sz w:val="20"/>
          <w:rtl/>
          <w:lang w:val="en-GB"/>
        </w:rPr>
        <w:t>۲۰۲۲</w:t>
      </w:r>
      <w:r w:rsidRPr="00254DAB">
        <w:rPr>
          <w:rFonts w:ascii="Times New Roman" w:hAnsi="Times New Roman" w:cs="B Nazanin"/>
          <w:sz w:val="20"/>
          <w:rtl/>
          <w:lang w:val="en-GB" w:bidi="ar-SA"/>
        </w:rPr>
        <w:t xml:space="preserve"> در سطح فرایندی توانسته‌اند بخشی از انتقادهای دیرینه نسبت به داوری سرمایه‌گذاری را کاهش دهند. افزایش شفافیت، تقویت امکان مشارکت اشخاص ثالث، مدیریت دقیق‌تر زمان‌بندی و توجه به کنترل هزینه‌ها، موجب شده است فرآیند داوری از وضعیت سنتیِ بسته و کم‌دسترسی فاصله بگیرد و به الگویی نزدیک‌تر شود که با منطق پاسخ‌گویی عمومی سازگارتر است. این تحول فرایندی، از منظر مشروعیت اهمیت دارد؛ زیرا در پرونده‌هایی که موضوع اختلاف با منافع عمومی گره خورده، مشروعیت صرفاً از نتیجه رأی حاصل نمی‌شود، بلکه از کیفیت و شفافیت فرآیند رسیدگی نیز تأثیر می‌پذیرد</w:t>
      </w:r>
      <w:r w:rsidRPr="00254DAB">
        <w:rPr>
          <w:rFonts w:ascii="Times New Roman" w:hAnsi="Times New Roman" w:cs="B Nazanin"/>
          <w:sz w:val="20"/>
          <w:lang w:val="en-GB"/>
        </w:rPr>
        <w:t>.</w:t>
      </w:r>
    </w:p>
    <w:p w14:paraId="7A33C0B9" w14:textId="77777777" w:rsidR="00254DAB" w:rsidRPr="00254DAB" w:rsidRDefault="00254DAB" w:rsidP="0081613D">
      <w:pPr>
        <w:bidi/>
        <w:spacing w:after="0" w:line="276" w:lineRule="auto"/>
        <w:jc w:val="both"/>
        <w:rPr>
          <w:rFonts w:ascii="Times New Roman" w:hAnsi="Times New Roman" w:cs="B Nazanin"/>
          <w:sz w:val="20"/>
          <w:lang w:val="en-GB"/>
        </w:rPr>
      </w:pPr>
      <w:r w:rsidRPr="00254DAB">
        <w:rPr>
          <w:rFonts w:ascii="Times New Roman" w:hAnsi="Times New Roman" w:cs="B Nazanin"/>
          <w:sz w:val="20"/>
          <w:rtl/>
          <w:lang w:val="en-GB" w:bidi="ar-SA"/>
        </w:rPr>
        <w:t xml:space="preserve">با این حال، بررسی بحران مشروعیت نشان می‌دهد که اصلاحات </w:t>
      </w:r>
      <w:r w:rsidRPr="00254DAB">
        <w:rPr>
          <w:rFonts w:ascii="Times New Roman" w:hAnsi="Times New Roman" w:cs="B Nazanin"/>
          <w:sz w:val="20"/>
          <w:rtl/>
          <w:lang w:val="en-GB"/>
        </w:rPr>
        <w:t>۲۰۲۲</w:t>
      </w:r>
      <w:r w:rsidRPr="00254DAB">
        <w:rPr>
          <w:rFonts w:ascii="Times New Roman" w:hAnsi="Times New Roman" w:cs="B Nazanin"/>
          <w:sz w:val="20"/>
          <w:rtl/>
          <w:lang w:val="en-GB" w:bidi="ar-SA"/>
        </w:rPr>
        <w:t xml:space="preserve"> به تنهایی قادر به حل کامل چالش‌های ساختاری و محتوایی داوری سرمایه‌گذاری نیستند. در سطح ساختاری، نبود سازوکار بازبینی ماهوی و محدود بودن کنترل رأی به نظارت‌های شکلی، همچنان مانع اصلی در مسیر ایجاد انسجام پایدار به شمار می‌رود. در سطح محتوایی نیز، هرچند روندی قابل مشاهده در جهت محدودسازی خوانش‌های موسّع از استانداردهای حمایتی و تقویت جایگاه حق تنظیم‌گری دولت شکل گرفته است، اما این تحول هنوز به یک قاعده منسجم و یکنواخت تبدیل نشده و ناهمگونی تفسیری در استانداردهای کلیدی همچنان باقی است. افزون بر این، اختلاف در شیوه‌های سنجش خسارت و صدور آرای سنگین مالی می‌تواند فشار مشروعیتی مضاعفی بر نظام داوری سرمایه‌گذاری وارد کند، زیرا آثار اقتصادی چنین آرایی تنها به دولت محکوم محدود نمی‌شود و می‌تواند پیامدهای گسترده حکمرانی و اجتماعی ایجاد کند</w:t>
      </w:r>
      <w:r w:rsidRPr="00254DAB">
        <w:rPr>
          <w:rFonts w:ascii="Times New Roman" w:hAnsi="Times New Roman" w:cs="B Nazanin"/>
          <w:sz w:val="20"/>
          <w:lang w:val="en-GB"/>
        </w:rPr>
        <w:t>.</w:t>
      </w:r>
    </w:p>
    <w:p w14:paraId="2E758387" w14:textId="77777777" w:rsidR="00254DAB" w:rsidRPr="00254DAB" w:rsidRDefault="00254DAB" w:rsidP="0081613D">
      <w:pPr>
        <w:bidi/>
        <w:spacing w:after="0" w:line="276" w:lineRule="auto"/>
        <w:jc w:val="both"/>
        <w:rPr>
          <w:rFonts w:ascii="Times New Roman" w:hAnsi="Times New Roman" w:cs="B Nazanin"/>
          <w:sz w:val="20"/>
          <w:lang w:val="en-GB"/>
        </w:rPr>
      </w:pPr>
      <w:r w:rsidRPr="00254DAB">
        <w:rPr>
          <w:rFonts w:ascii="Times New Roman" w:hAnsi="Times New Roman" w:cs="B Nazanin"/>
          <w:sz w:val="20"/>
          <w:rtl/>
          <w:lang w:val="en-GB" w:bidi="ar-SA"/>
        </w:rPr>
        <w:t xml:space="preserve">بر این اساس، اصلاحات </w:t>
      </w:r>
      <w:r w:rsidRPr="00254DAB">
        <w:rPr>
          <w:rFonts w:ascii="Times New Roman" w:hAnsi="Times New Roman" w:cs="B Nazanin"/>
          <w:sz w:val="20"/>
          <w:rtl/>
          <w:lang w:val="en-GB"/>
        </w:rPr>
        <w:t>۲۰۲۲</w:t>
      </w:r>
      <w:r w:rsidRPr="00254DAB">
        <w:rPr>
          <w:rFonts w:ascii="Times New Roman" w:hAnsi="Times New Roman" w:cs="B Nazanin"/>
          <w:sz w:val="20"/>
          <w:rtl/>
          <w:lang w:val="en-GB" w:bidi="ar-SA"/>
        </w:rPr>
        <w:t xml:space="preserve"> را باید نقطه‌ای میانی در مسیر تحول داوری سرمایه‌گذاری دانست: گامی که ظرفیت پاسخ‌گویی و کارآمدی را افزایش داده، اما هنوز به سطحی نرسیده است که بتواند بحران مشروعیت را به طور کامل مرتفع سازد. در نتیجه، آینده نظام ایکسید وابسته به آن است که این اصلاحات فرایندی در گام‌های بعدی با اصلاحات ساختاری و محتوایی تکمیل شوند؛ اصلاحاتی که بتوانند هم انسجام تفسیری را تقویت کنند و هم ابزارهای کنترل ماهوی را توسعه دهند</w:t>
      </w:r>
      <w:r w:rsidRPr="00254DAB">
        <w:rPr>
          <w:rFonts w:ascii="Times New Roman" w:hAnsi="Times New Roman" w:cs="B Nazanin"/>
          <w:sz w:val="20"/>
          <w:lang w:val="en-GB"/>
        </w:rPr>
        <w:t>.</w:t>
      </w:r>
    </w:p>
    <w:p w14:paraId="6D439181" w14:textId="77777777" w:rsidR="00254DAB" w:rsidRPr="00254DAB" w:rsidRDefault="00254DAB" w:rsidP="0081613D">
      <w:pPr>
        <w:bidi/>
        <w:spacing w:after="0" w:line="276" w:lineRule="auto"/>
        <w:jc w:val="both"/>
        <w:rPr>
          <w:rFonts w:ascii="Times New Roman" w:hAnsi="Times New Roman" w:cs="B Nazanin"/>
          <w:sz w:val="20"/>
          <w:lang w:val="en-GB"/>
        </w:rPr>
      </w:pPr>
      <w:r w:rsidRPr="00254DAB">
        <w:rPr>
          <w:rFonts w:ascii="Times New Roman" w:hAnsi="Times New Roman" w:cs="B Nazanin"/>
          <w:sz w:val="20"/>
          <w:rtl/>
          <w:lang w:val="en-GB" w:bidi="ar-SA"/>
        </w:rPr>
        <w:t>پیشنهادات سیاستی برای ایران</w:t>
      </w:r>
    </w:p>
    <w:p w14:paraId="5431FC4C" w14:textId="77777777" w:rsidR="00254DAB" w:rsidRPr="00254DAB" w:rsidRDefault="00254DAB" w:rsidP="0081613D">
      <w:pPr>
        <w:bidi/>
        <w:spacing w:after="0" w:line="276" w:lineRule="auto"/>
        <w:jc w:val="both"/>
        <w:rPr>
          <w:rFonts w:ascii="Times New Roman" w:hAnsi="Times New Roman" w:cs="B Nazanin"/>
          <w:sz w:val="20"/>
          <w:lang w:val="en-GB"/>
        </w:rPr>
      </w:pPr>
      <w:r w:rsidRPr="00254DAB">
        <w:rPr>
          <w:rFonts w:ascii="Times New Roman" w:hAnsi="Times New Roman" w:cs="B Nazanin"/>
          <w:sz w:val="20"/>
          <w:rtl/>
          <w:lang w:val="en-GB" w:bidi="ar-SA"/>
        </w:rPr>
        <w:t>در نسبت با ایران، نتایج پژوهش نشان می‌دهد که مواجهه با ایکسید نباید مبتنی بر پذیرش مطلق یا رد مطلق باشد، بلکه اتخاذ یک راهبرد مرحله‌ای و مشروط می‌تواند هم فرصت‌های حقوقی جذب سرمایه‌گذاری خارجی را فعال کند و هم ریسک‌های حاکمیتی را کنترل‌پذیر سازد. در این چارچوب، سه محور به‌عنوان مسیر پیشنهادی قابل طرح است</w:t>
      </w:r>
      <w:r w:rsidRPr="00254DAB">
        <w:rPr>
          <w:rFonts w:ascii="Times New Roman" w:hAnsi="Times New Roman" w:cs="B Nazanin"/>
          <w:sz w:val="20"/>
          <w:lang w:val="en-GB"/>
        </w:rPr>
        <w:t>:</w:t>
      </w:r>
    </w:p>
    <w:p w14:paraId="1CA8C1F5" w14:textId="7A0873B6" w:rsidR="00254DAB" w:rsidRPr="00254DAB" w:rsidRDefault="00352F94" w:rsidP="00352F94">
      <w:pPr>
        <w:bidi/>
        <w:spacing w:after="0" w:line="276" w:lineRule="auto"/>
        <w:jc w:val="both"/>
        <w:rPr>
          <w:rFonts w:ascii="Times New Roman" w:hAnsi="Times New Roman" w:cs="B Nazanin"/>
          <w:sz w:val="20"/>
          <w:lang w:val="en-GB"/>
        </w:rPr>
      </w:pPr>
      <w:r>
        <w:rPr>
          <w:rFonts w:ascii="Times New Roman" w:hAnsi="Times New Roman" w:cs="B Nazanin" w:hint="cs"/>
          <w:sz w:val="20"/>
          <w:rtl/>
          <w:lang w:val="en-GB" w:bidi="ar-SA"/>
        </w:rPr>
        <w:t xml:space="preserve">1- </w:t>
      </w:r>
      <w:r w:rsidR="00254DAB" w:rsidRPr="00254DAB">
        <w:rPr>
          <w:rFonts w:ascii="Times New Roman" w:hAnsi="Times New Roman" w:cs="B Nazanin"/>
          <w:sz w:val="20"/>
          <w:rtl/>
          <w:lang w:val="en-GB" w:bidi="ar-SA"/>
        </w:rPr>
        <w:t>بازنگری در برداشت اجرایی از محدودیت‌های داخلی مربوط به ارجاع اختلافات به داوری بین‌المللی، به نحوی که امکان تفکیک اختلافات سرمایه‌گذاری از دعاوی حاکمیتی فراهم گردد و چارچوب تصمیم‌گیری شفاف و قابل پیش‌بینی ایجاد شود</w:t>
      </w:r>
      <w:r w:rsidR="00254DAB" w:rsidRPr="00254DAB">
        <w:rPr>
          <w:rFonts w:ascii="Times New Roman" w:hAnsi="Times New Roman" w:cs="B Nazanin"/>
          <w:sz w:val="20"/>
          <w:lang w:val="en-GB"/>
        </w:rPr>
        <w:t>.</w:t>
      </w:r>
    </w:p>
    <w:p w14:paraId="11259F63" w14:textId="0F66726C" w:rsidR="00254DAB" w:rsidRPr="00254DAB" w:rsidRDefault="00352F94" w:rsidP="00352F94">
      <w:pPr>
        <w:bidi/>
        <w:spacing w:after="0" w:line="276" w:lineRule="auto"/>
        <w:jc w:val="both"/>
        <w:rPr>
          <w:rFonts w:ascii="Times New Roman" w:hAnsi="Times New Roman" w:cs="B Nazanin"/>
          <w:sz w:val="20"/>
          <w:lang w:val="en-GB"/>
        </w:rPr>
      </w:pPr>
      <w:r>
        <w:rPr>
          <w:rFonts w:ascii="Times New Roman" w:hAnsi="Times New Roman" w:cs="B Nazanin" w:hint="cs"/>
          <w:sz w:val="20"/>
          <w:rtl/>
          <w:lang w:val="en-GB" w:bidi="ar-SA"/>
        </w:rPr>
        <w:t xml:space="preserve">2- </w:t>
      </w:r>
      <w:r w:rsidR="00254DAB" w:rsidRPr="00254DAB">
        <w:rPr>
          <w:rFonts w:ascii="Times New Roman" w:hAnsi="Times New Roman" w:cs="B Nazanin"/>
          <w:sz w:val="20"/>
          <w:rtl/>
          <w:lang w:val="en-GB" w:bidi="ar-SA"/>
        </w:rPr>
        <w:t>طراحی تعامل مرحله‌ای با سازوکارهای داوری سرمایه‌گذاری، به‌گونه‌ای که ظرفیت دفاعی و نهادی کشور تقویت شود و در عین حال، پذیرش صلاحیت داوری به صورت کنترل‌شده و گزینشی صورت گیرد</w:t>
      </w:r>
      <w:r w:rsidR="00254DAB" w:rsidRPr="00254DAB">
        <w:rPr>
          <w:rFonts w:ascii="Times New Roman" w:hAnsi="Times New Roman" w:cs="B Nazanin"/>
          <w:sz w:val="20"/>
          <w:lang w:val="en-GB"/>
        </w:rPr>
        <w:t>.</w:t>
      </w:r>
    </w:p>
    <w:p w14:paraId="6B604219" w14:textId="0CAD19B8" w:rsidR="00254DAB" w:rsidRPr="00254DAB" w:rsidRDefault="00352F94" w:rsidP="00352F94">
      <w:pPr>
        <w:bidi/>
        <w:spacing w:after="0" w:line="276" w:lineRule="auto"/>
        <w:jc w:val="both"/>
        <w:rPr>
          <w:rFonts w:ascii="Times New Roman" w:hAnsi="Times New Roman" w:cs="B Nazanin"/>
          <w:sz w:val="20"/>
          <w:lang w:val="en-GB"/>
        </w:rPr>
      </w:pPr>
      <w:r>
        <w:rPr>
          <w:rFonts w:ascii="Times New Roman" w:hAnsi="Times New Roman" w:cs="B Nazanin" w:hint="cs"/>
          <w:sz w:val="20"/>
          <w:rtl/>
          <w:lang w:val="en-GB" w:bidi="ar-SA"/>
        </w:rPr>
        <w:t xml:space="preserve">3- </w:t>
      </w:r>
      <w:r w:rsidR="00254DAB" w:rsidRPr="00254DAB">
        <w:rPr>
          <w:rFonts w:ascii="Times New Roman" w:hAnsi="Times New Roman" w:cs="B Nazanin"/>
          <w:sz w:val="20"/>
          <w:rtl/>
          <w:lang w:val="en-GB" w:bidi="ar-SA"/>
        </w:rPr>
        <w:t>باز</w:t>
      </w:r>
      <w:r>
        <w:rPr>
          <w:rFonts w:ascii="Times New Roman" w:hAnsi="Times New Roman" w:cs="B Nazanin" w:hint="cs"/>
          <w:sz w:val="20"/>
          <w:rtl/>
          <w:lang w:val="en-GB" w:bidi="ar-SA"/>
        </w:rPr>
        <w:t>نویسی</w:t>
      </w:r>
      <w:r w:rsidR="00254DAB" w:rsidRPr="00254DAB">
        <w:rPr>
          <w:rFonts w:ascii="Times New Roman" w:hAnsi="Times New Roman" w:cs="B Nazanin"/>
          <w:sz w:val="20"/>
          <w:rtl/>
          <w:lang w:val="en-GB" w:bidi="ar-SA"/>
        </w:rPr>
        <w:t xml:space="preserve"> موافقت‌نامه‌های دوجانبه سرمایه‌گذاری با تمرکز بر درج صریح حق تنظیم‌گری دولت، استثنائات مربوط به سلامت و محیط زیست، قواعد شفافیت، و ابزارهای جلوگیری از دعاوی فرصت‌طلبانه، به نحوی که توازن میان حمایت از سرمایه‌گذار و منافع عمومی به صورت متنی و الزام‌آور تثبیت گردد</w:t>
      </w:r>
      <w:r w:rsidR="00254DAB" w:rsidRPr="00254DAB">
        <w:rPr>
          <w:rFonts w:ascii="Times New Roman" w:hAnsi="Times New Roman" w:cs="B Nazanin"/>
          <w:sz w:val="20"/>
          <w:lang w:val="en-GB"/>
        </w:rPr>
        <w:t>.</w:t>
      </w:r>
    </w:p>
    <w:p w14:paraId="66D4AE91" w14:textId="77777777" w:rsidR="00254DAB" w:rsidRPr="00254DAB" w:rsidRDefault="00254DAB" w:rsidP="0081613D">
      <w:pPr>
        <w:bidi/>
        <w:spacing w:after="0" w:line="276" w:lineRule="auto"/>
        <w:jc w:val="both"/>
        <w:rPr>
          <w:rFonts w:ascii="Times New Roman" w:hAnsi="Times New Roman" w:cs="B Nazanin"/>
          <w:sz w:val="20"/>
          <w:lang w:val="en-GB"/>
        </w:rPr>
      </w:pPr>
      <w:r w:rsidRPr="00254DAB">
        <w:rPr>
          <w:rFonts w:ascii="Times New Roman" w:hAnsi="Times New Roman" w:cs="B Nazanin"/>
          <w:sz w:val="20"/>
          <w:rtl/>
          <w:lang w:val="en-GB" w:bidi="ar-SA"/>
        </w:rPr>
        <w:lastRenderedPageBreak/>
        <w:t xml:space="preserve">در مجموع، اصلاحات </w:t>
      </w:r>
      <w:r w:rsidRPr="00254DAB">
        <w:rPr>
          <w:rFonts w:ascii="Times New Roman" w:hAnsi="Times New Roman" w:cs="B Nazanin"/>
          <w:sz w:val="20"/>
          <w:rtl/>
          <w:lang w:val="en-GB"/>
        </w:rPr>
        <w:t>۲۰۲۲</w:t>
      </w:r>
      <w:r w:rsidRPr="00254DAB">
        <w:rPr>
          <w:rFonts w:ascii="Times New Roman" w:hAnsi="Times New Roman" w:cs="B Nazanin"/>
          <w:sz w:val="20"/>
          <w:rtl/>
          <w:lang w:val="en-GB" w:bidi="ar-SA"/>
        </w:rPr>
        <w:t xml:space="preserve"> ایکسید را می‌توان فرصتی برای بازاندیشی در جایگاه داوری سرمایه‌گذاری در نظم حقوق بین‌الملل اقتصادی دانست؛ فرصتی که نشان می‌دهد مسیر تحول داوری سرمایه‌گذاری به سمت شفافیت، پاسخ‌گویی و تعادل در حال حرکت است، اما تحقق کامل این هدف نیازمند تکمیل اصلاحات و توسعه انسجام ماهوی در رویه داوری خواهد بود</w:t>
      </w:r>
      <w:r w:rsidRPr="00254DAB">
        <w:rPr>
          <w:rFonts w:ascii="Times New Roman" w:hAnsi="Times New Roman" w:cs="B Nazanin"/>
          <w:sz w:val="20"/>
          <w:lang w:val="en-GB"/>
        </w:rPr>
        <w:t>.</w:t>
      </w:r>
    </w:p>
    <w:p w14:paraId="7BB85F5E" w14:textId="77777777" w:rsidR="00DF39AA" w:rsidRDefault="00DF39AA" w:rsidP="0081613D">
      <w:pPr>
        <w:bidi/>
        <w:spacing w:after="0" w:line="276" w:lineRule="auto"/>
        <w:jc w:val="both"/>
        <w:rPr>
          <w:rFonts w:ascii="Times New Roman" w:hAnsi="Times New Roman" w:cs="B Nazanin"/>
          <w:b/>
          <w:bCs/>
          <w:sz w:val="20"/>
          <w:lang w:val="en-GB"/>
        </w:rPr>
      </w:pPr>
    </w:p>
    <w:p w14:paraId="1B37CD96" w14:textId="77777777" w:rsidR="00DF39AA" w:rsidRPr="0081613D" w:rsidRDefault="00DF39AA" w:rsidP="0081613D">
      <w:pPr>
        <w:bidi/>
        <w:spacing w:after="0" w:line="276" w:lineRule="auto"/>
        <w:jc w:val="both"/>
        <w:rPr>
          <w:rFonts w:ascii="Times New Roman" w:hAnsi="Times New Roman" w:cs="B Nazanin"/>
          <w:sz w:val="20"/>
          <w:lang w:val="en-GB"/>
        </w:rPr>
      </w:pPr>
    </w:p>
    <w:p w14:paraId="368DAA36" w14:textId="77777777" w:rsidR="00DF39AA" w:rsidRPr="0081613D" w:rsidRDefault="00DF39AA" w:rsidP="0081613D">
      <w:pPr>
        <w:bidi/>
        <w:spacing w:after="0" w:line="276" w:lineRule="auto"/>
        <w:jc w:val="both"/>
        <w:rPr>
          <w:rFonts w:ascii="Times New Roman" w:hAnsi="Times New Roman" w:cs="B Nazanin"/>
          <w:sz w:val="20"/>
          <w:lang w:val="en-GB"/>
        </w:rPr>
      </w:pPr>
    </w:p>
    <w:p w14:paraId="767D2F61" w14:textId="16D763FC" w:rsidR="00DF39AA" w:rsidRPr="00B069E8" w:rsidRDefault="00B069E8" w:rsidP="00B069E8">
      <w:pPr>
        <w:ind w:left="284" w:hanging="284"/>
        <w:jc w:val="both"/>
        <w:rPr>
          <w:rFonts w:ascii="Times New Roman" w:hAnsi="Times New Roman" w:cs="B Mitra"/>
          <w:b/>
          <w:bCs/>
          <w:sz w:val="22"/>
          <w:szCs w:val="26"/>
          <w:lang w:val="en-GB"/>
        </w:rPr>
      </w:pPr>
      <w:r w:rsidRPr="00063CE4">
        <w:rPr>
          <w:rFonts w:ascii="Times New Roman" w:hAnsi="Times New Roman" w:cs="B Mitra"/>
          <w:b/>
          <w:bCs/>
          <w:sz w:val="22"/>
          <w:szCs w:val="26"/>
          <w:lang w:val="en-GB"/>
        </w:rPr>
        <w:t>Bibliography</w:t>
      </w:r>
      <w:r>
        <w:rPr>
          <w:rFonts w:ascii="Times New Roman" w:hAnsi="Times New Roman" w:cs="B Mitra"/>
          <w:b/>
          <w:bCs/>
          <w:sz w:val="22"/>
          <w:szCs w:val="26"/>
          <w:lang w:val="en-GB"/>
        </w:rPr>
        <w:t>:</w:t>
      </w:r>
    </w:p>
    <w:p w14:paraId="736025E9" w14:textId="3A3B0301" w:rsidR="0081613D" w:rsidRPr="0081613D" w:rsidRDefault="0081613D" w:rsidP="0081613D">
      <w:pPr>
        <w:spacing w:after="0" w:line="360" w:lineRule="auto"/>
        <w:jc w:val="both"/>
        <w:rPr>
          <w:rFonts w:ascii="Times New Roman" w:hAnsi="Times New Roman" w:cs="B Nazanin"/>
          <w:b/>
          <w:bCs/>
          <w:sz w:val="20"/>
          <w:lang w:val="en-GB"/>
        </w:rPr>
      </w:pPr>
      <w:r w:rsidRPr="0081613D">
        <w:rPr>
          <w:rFonts w:ascii="Times New Roman" w:hAnsi="Times New Roman" w:cs="B Nazanin"/>
          <w:b/>
          <w:bCs/>
          <w:sz w:val="20"/>
          <w:lang w:val="en-GB"/>
        </w:rPr>
        <w:t>Books</w:t>
      </w:r>
    </w:p>
    <w:p w14:paraId="4A9B6164" w14:textId="77777777" w:rsidR="0081613D" w:rsidRPr="006679F2" w:rsidRDefault="0081613D" w:rsidP="006679F2">
      <w:pPr>
        <w:pStyle w:val="ListParagraph"/>
        <w:numPr>
          <w:ilvl w:val="0"/>
          <w:numId w:val="29"/>
        </w:numPr>
        <w:spacing w:after="0" w:line="360" w:lineRule="auto"/>
        <w:ind w:left="426"/>
        <w:jc w:val="both"/>
        <w:rPr>
          <w:rFonts w:ascii="Times New Roman" w:hAnsi="Times New Roman" w:cs="B Nazanin"/>
          <w:sz w:val="20"/>
          <w:lang w:val="en-GB"/>
        </w:rPr>
      </w:pPr>
      <w:proofErr w:type="spellStart"/>
      <w:r w:rsidRPr="006679F2">
        <w:rPr>
          <w:rFonts w:ascii="Times New Roman" w:hAnsi="Times New Roman" w:cs="B Nazanin"/>
          <w:sz w:val="20"/>
          <w:lang w:val="en-GB"/>
        </w:rPr>
        <w:t>Anghie</w:t>
      </w:r>
      <w:proofErr w:type="spellEnd"/>
      <w:r w:rsidRPr="006679F2">
        <w:rPr>
          <w:rFonts w:ascii="Times New Roman" w:hAnsi="Times New Roman" w:cs="B Nazanin"/>
          <w:sz w:val="20"/>
          <w:lang w:val="en-GB"/>
        </w:rPr>
        <w:t xml:space="preserve">, A., &amp; Chimni, B. S. (2003). </w:t>
      </w:r>
      <w:r w:rsidRPr="006679F2">
        <w:rPr>
          <w:rFonts w:ascii="Times New Roman" w:hAnsi="Times New Roman" w:cs="B Nazanin"/>
          <w:i/>
          <w:iCs/>
          <w:sz w:val="20"/>
          <w:lang w:val="en-GB"/>
        </w:rPr>
        <w:t>Third World approaches to international law and individual responsibility in internal conflicts</w:t>
      </w:r>
      <w:r w:rsidRPr="006679F2">
        <w:rPr>
          <w:rFonts w:ascii="Times New Roman" w:hAnsi="Times New Roman" w:cs="B Nazanin"/>
          <w:sz w:val="20"/>
          <w:lang w:val="en-GB"/>
        </w:rPr>
        <w:t>. Chinese Journal of International Law, 2(1), 77–103.</w:t>
      </w:r>
    </w:p>
    <w:p w14:paraId="45F41C02" w14:textId="77777777" w:rsidR="0081613D" w:rsidRPr="006679F2" w:rsidRDefault="0081613D" w:rsidP="006679F2">
      <w:pPr>
        <w:pStyle w:val="ListParagraph"/>
        <w:numPr>
          <w:ilvl w:val="0"/>
          <w:numId w:val="29"/>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Broches, A. (1965). </w:t>
      </w:r>
      <w:r w:rsidRPr="006679F2">
        <w:rPr>
          <w:rFonts w:ascii="Times New Roman" w:hAnsi="Times New Roman" w:cs="B Nazanin"/>
          <w:i/>
          <w:iCs/>
          <w:sz w:val="20"/>
          <w:lang w:val="en-GB"/>
        </w:rPr>
        <w:t>The Convention on the Settlement of Investment Disputes between States and Nationals of Other States: A history of the ICSID Convention</w:t>
      </w:r>
      <w:r w:rsidRPr="006679F2">
        <w:rPr>
          <w:rFonts w:ascii="Times New Roman" w:hAnsi="Times New Roman" w:cs="B Nazanin"/>
          <w:sz w:val="20"/>
          <w:lang w:val="en-GB"/>
        </w:rPr>
        <w:t>. World Bank.</w:t>
      </w:r>
    </w:p>
    <w:p w14:paraId="40E35B08" w14:textId="77777777" w:rsidR="0081613D" w:rsidRPr="006679F2" w:rsidRDefault="0081613D" w:rsidP="006679F2">
      <w:pPr>
        <w:pStyle w:val="ListParagraph"/>
        <w:numPr>
          <w:ilvl w:val="0"/>
          <w:numId w:val="29"/>
        </w:numPr>
        <w:spacing w:after="0" w:line="360" w:lineRule="auto"/>
        <w:ind w:left="426"/>
        <w:jc w:val="both"/>
        <w:rPr>
          <w:rFonts w:ascii="Times New Roman" w:hAnsi="Times New Roman" w:cs="B Nazanin"/>
          <w:sz w:val="20"/>
          <w:lang w:val="en-GB"/>
        </w:rPr>
      </w:pPr>
      <w:proofErr w:type="spellStart"/>
      <w:r w:rsidRPr="006679F2">
        <w:rPr>
          <w:rFonts w:ascii="Times New Roman" w:hAnsi="Times New Roman" w:cs="B Nazanin"/>
          <w:sz w:val="20"/>
          <w:lang w:val="en-GB"/>
        </w:rPr>
        <w:t>Dolzer</w:t>
      </w:r>
      <w:proofErr w:type="spellEnd"/>
      <w:r w:rsidRPr="006679F2">
        <w:rPr>
          <w:rFonts w:ascii="Times New Roman" w:hAnsi="Times New Roman" w:cs="B Nazanin"/>
          <w:sz w:val="20"/>
          <w:lang w:val="en-GB"/>
        </w:rPr>
        <w:t xml:space="preserve">, R., &amp; </w:t>
      </w:r>
      <w:proofErr w:type="spellStart"/>
      <w:r w:rsidRPr="006679F2">
        <w:rPr>
          <w:rFonts w:ascii="Times New Roman" w:hAnsi="Times New Roman" w:cs="B Nazanin"/>
          <w:sz w:val="20"/>
          <w:lang w:val="en-GB"/>
        </w:rPr>
        <w:t>Schreuer</w:t>
      </w:r>
      <w:proofErr w:type="spellEnd"/>
      <w:r w:rsidRPr="006679F2">
        <w:rPr>
          <w:rFonts w:ascii="Times New Roman" w:hAnsi="Times New Roman" w:cs="B Nazanin"/>
          <w:sz w:val="20"/>
          <w:lang w:val="en-GB"/>
        </w:rPr>
        <w:t xml:space="preserve">, C. H. (2022). </w:t>
      </w:r>
      <w:r w:rsidRPr="006679F2">
        <w:rPr>
          <w:rFonts w:ascii="Times New Roman" w:hAnsi="Times New Roman" w:cs="B Nazanin"/>
          <w:i/>
          <w:iCs/>
          <w:sz w:val="20"/>
          <w:lang w:val="en-GB"/>
        </w:rPr>
        <w:t>Principles of international investment law</w:t>
      </w:r>
      <w:r w:rsidRPr="006679F2">
        <w:rPr>
          <w:rFonts w:ascii="Times New Roman" w:hAnsi="Times New Roman" w:cs="B Nazanin"/>
          <w:sz w:val="20"/>
          <w:lang w:val="en-GB"/>
        </w:rPr>
        <w:t xml:space="preserve"> (3rd ed.). Oxford University Press.</w:t>
      </w:r>
    </w:p>
    <w:p w14:paraId="6D2827BB" w14:textId="77777777" w:rsidR="0081613D" w:rsidRPr="006679F2" w:rsidRDefault="0081613D" w:rsidP="006679F2">
      <w:pPr>
        <w:pStyle w:val="ListParagraph"/>
        <w:numPr>
          <w:ilvl w:val="0"/>
          <w:numId w:val="29"/>
        </w:numPr>
        <w:spacing w:after="0" w:line="360" w:lineRule="auto"/>
        <w:ind w:left="426"/>
        <w:jc w:val="both"/>
        <w:rPr>
          <w:rFonts w:ascii="Times New Roman" w:hAnsi="Times New Roman" w:cs="B Nazanin"/>
          <w:sz w:val="20"/>
          <w:lang w:val="en-GB"/>
        </w:rPr>
      </w:pPr>
      <w:proofErr w:type="spellStart"/>
      <w:r w:rsidRPr="006679F2">
        <w:rPr>
          <w:rFonts w:ascii="Times New Roman" w:hAnsi="Times New Roman" w:cs="B Nazanin"/>
          <w:sz w:val="20"/>
          <w:lang w:val="en-GB"/>
        </w:rPr>
        <w:t>Salacuse</w:t>
      </w:r>
      <w:proofErr w:type="spellEnd"/>
      <w:r w:rsidRPr="006679F2">
        <w:rPr>
          <w:rFonts w:ascii="Times New Roman" w:hAnsi="Times New Roman" w:cs="B Nazanin"/>
          <w:sz w:val="20"/>
          <w:lang w:val="en-GB"/>
        </w:rPr>
        <w:t xml:space="preserve">, J. W. (2022). </w:t>
      </w:r>
      <w:r w:rsidRPr="006679F2">
        <w:rPr>
          <w:rFonts w:ascii="Times New Roman" w:hAnsi="Times New Roman" w:cs="B Nazanin"/>
          <w:i/>
          <w:iCs/>
          <w:sz w:val="20"/>
          <w:lang w:val="en-GB"/>
        </w:rPr>
        <w:t>The law of investment treaties</w:t>
      </w:r>
      <w:r w:rsidRPr="006679F2">
        <w:rPr>
          <w:rFonts w:ascii="Times New Roman" w:hAnsi="Times New Roman" w:cs="B Nazanin"/>
          <w:sz w:val="20"/>
          <w:lang w:val="en-GB"/>
        </w:rPr>
        <w:t xml:space="preserve"> (3rd ed.). Oxford University Press.</w:t>
      </w:r>
    </w:p>
    <w:p w14:paraId="38892B5E" w14:textId="77777777" w:rsidR="0081613D" w:rsidRPr="006679F2" w:rsidRDefault="0081613D" w:rsidP="006679F2">
      <w:pPr>
        <w:pStyle w:val="ListParagraph"/>
        <w:numPr>
          <w:ilvl w:val="0"/>
          <w:numId w:val="29"/>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Schreuer, C. H. (2009). </w:t>
      </w:r>
      <w:r w:rsidRPr="006679F2">
        <w:rPr>
          <w:rFonts w:ascii="Times New Roman" w:hAnsi="Times New Roman" w:cs="B Nazanin"/>
          <w:i/>
          <w:iCs/>
          <w:sz w:val="20"/>
          <w:lang w:val="en-GB"/>
        </w:rPr>
        <w:t>The ICSID Convention: A commentary</w:t>
      </w:r>
      <w:r w:rsidRPr="006679F2">
        <w:rPr>
          <w:rFonts w:ascii="Times New Roman" w:hAnsi="Times New Roman" w:cs="B Nazanin"/>
          <w:sz w:val="20"/>
          <w:lang w:val="en-GB"/>
        </w:rPr>
        <w:t xml:space="preserve"> (2nd ed.). Cambridge University Press.</w:t>
      </w:r>
    </w:p>
    <w:p w14:paraId="01518780" w14:textId="77777777" w:rsidR="0081613D" w:rsidRPr="006679F2" w:rsidRDefault="0081613D" w:rsidP="006679F2">
      <w:pPr>
        <w:pStyle w:val="ListParagraph"/>
        <w:numPr>
          <w:ilvl w:val="0"/>
          <w:numId w:val="29"/>
        </w:numPr>
        <w:spacing w:after="0" w:line="360" w:lineRule="auto"/>
        <w:ind w:left="426"/>
        <w:jc w:val="both"/>
        <w:rPr>
          <w:rFonts w:ascii="Times New Roman" w:hAnsi="Times New Roman" w:cs="B Nazanin"/>
          <w:sz w:val="20"/>
          <w:lang w:val="en-GB"/>
        </w:rPr>
      </w:pPr>
      <w:proofErr w:type="spellStart"/>
      <w:r w:rsidRPr="006679F2">
        <w:rPr>
          <w:rFonts w:ascii="Times New Roman" w:hAnsi="Times New Roman" w:cs="B Nazanin"/>
          <w:sz w:val="20"/>
          <w:lang w:val="en-GB"/>
        </w:rPr>
        <w:t>Sornarajah</w:t>
      </w:r>
      <w:proofErr w:type="spellEnd"/>
      <w:r w:rsidRPr="006679F2">
        <w:rPr>
          <w:rFonts w:ascii="Times New Roman" w:hAnsi="Times New Roman" w:cs="B Nazanin"/>
          <w:sz w:val="20"/>
          <w:lang w:val="en-GB"/>
        </w:rPr>
        <w:t xml:space="preserve">, M. (2021). </w:t>
      </w:r>
      <w:r w:rsidRPr="006679F2">
        <w:rPr>
          <w:rFonts w:ascii="Times New Roman" w:hAnsi="Times New Roman" w:cs="B Nazanin"/>
          <w:i/>
          <w:iCs/>
          <w:sz w:val="20"/>
          <w:lang w:val="en-GB"/>
        </w:rPr>
        <w:t>The international law on foreign investment</w:t>
      </w:r>
      <w:r w:rsidRPr="006679F2">
        <w:rPr>
          <w:rFonts w:ascii="Times New Roman" w:hAnsi="Times New Roman" w:cs="B Nazanin"/>
          <w:sz w:val="20"/>
          <w:lang w:val="en-GB"/>
        </w:rPr>
        <w:t xml:space="preserve"> (5th ed.). Cambridge University Press.</w:t>
      </w:r>
    </w:p>
    <w:p w14:paraId="2FC7DE84" w14:textId="77777777" w:rsidR="0081613D" w:rsidRPr="006679F2" w:rsidRDefault="0081613D" w:rsidP="006679F2">
      <w:pPr>
        <w:pStyle w:val="ListParagraph"/>
        <w:numPr>
          <w:ilvl w:val="0"/>
          <w:numId w:val="29"/>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Van Harten, G. (2007). </w:t>
      </w:r>
      <w:r w:rsidRPr="006679F2">
        <w:rPr>
          <w:rFonts w:ascii="Times New Roman" w:hAnsi="Times New Roman" w:cs="B Nazanin"/>
          <w:i/>
          <w:iCs/>
          <w:sz w:val="20"/>
          <w:lang w:val="en-GB"/>
        </w:rPr>
        <w:t>Investment treaty arbitration and public law</w:t>
      </w:r>
      <w:r w:rsidRPr="006679F2">
        <w:rPr>
          <w:rFonts w:ascii="Times New Roman" w:hAnsi="Times New Roman" w:cs="B Nazanin"/>
          <w:sz w:val="20"/>
          <w:lang w:val="en-GB"/>
        </w:rPr>
        <w:t>. Oxford University Press.</w:t>
      </w:r>
    </w:p>
    <w:p w14:paraId="21B03D75" w14:textId="07E0C438" w:rsidR="0081613D" w:rsidRPr="0081613D" w:rsidRDefault="0081613D" w:rsidP="0081613D">
      <w:pPr>
        <w:spacing w:after="0" w:line="360" w:lineRule="auto"/>
        <w:jc w:val="both"/>
        <w:rPr>
          <w:rFonts w:ascii="Times New Roman" w:hAnsi="Times New Roman" w:cs="B Nazanin"/>
          <w:sz w:val="20"/>
          <w:lang w:val="en-GB"/>
        </w:rPr>
      </w:pPr>
    </w:p>
    <w:p w14:paraId="013265C5" w14:textId="25055D9A" w:rsidR="0081613D" w:rsidRPr="0081613D" w:rsidRDefault="0081613D" w:rsidP="0081613D">
      <w:pPr>
        <w:spacing w:after="0" w:line="360" w:lineRule="auto"/>
        <w:jc w:val="both"/>
        <w:rPr>
          <w:rFonts w:ascii="Times New Roman" w:hAnsi="Times New Roman" w:cs="B Nazanin"/>
          <w:b/>
          <w:bCs/>
          <w:sz w:val="20"/>
          <w:lang w:val="en-GB"/>
        </w:rPr>
      </w:pPr>
      <w:r w:rsidRPr="0081613D">
        <w:rPr>
          <w:rFonts w:ascii="Times New Roman" w:hAnsi="Times New Roman" w:cs="B Nazanin"/>
          <w:b/>
          <w:bCs/>
          <w:sz w:val="20"/>
          <w:lang w:val="en-GB"/>
        </w:rPr>
        <w:t>Articles, Reports &amp; Web Sources</w:t>
      </w:r>
    </w:p>
    <w:p w14:paraId="0576F180" w14:textId="77777777" w:rsidR="0081613D" w:rsidRPr="006679F2" w:rsidRDefault="0081613D" w:rsidP="006679F2">
      <w:pPr>
        <w:pStyle w:val="ListParagraph"/>
        <w:numPr>
          <w:ilvl w:val="0"/>
          <w:numId w:val="30"/>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IISD. (2019, July). Tribunal finds Pakistan breached FET and expropriation obligations. </w:t>
      </w:r>
      <w:r w:rsidRPr="006679F2">
        <w:rPr>
          <w:rFonts w:ascii="Times New Roman" w:hAnsi="Times New Roman" w:cs="B Nazanin"/>
          <w:i/>
          <w:iCs/>
          <w:sz w:val="20"/>
          <w:lang w:val="en-GB"/>
        </w:rPr>
        <w:t>Investment Treaty News</w:t>
      </w:r>
      <w:r w:rsidRPr="006679F2">
        <w:rPr>
          <w:rFonts w:ascii="Times New Roman" w:hAnsi="Times New Roman" w:cs="B Nazanin"/>
          <w:sz w:val="20"/>
          <w:lang w:val="en-GB"/>
        </w:rPr>
        <w:t>.</w:t>
      </w:r>
    </w:p>
    <w:p w14:paraId="3F1B7CCD" w14:textId="77777777" w:rsidR="0081613D" w:rsidRPr="006679F2" w:rsidRDefault="0081613D" w:rsidP="006679F2">
      <w:pPr>
        <w:pStyle w:val="ListParagraph"/>
        <w:numPr>
          <w:ilvl w:val="0"/>
          <w:numId w:val="30"/>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McCabe Centre for Law &amp; Cancer. (2016). The award on the merits in </w:t>
      </w:r>
      <w:r w:rsidRPr="006679F2">
        <w:rPr>
          <w:rFonts w:ascii="Times New Roman" w:hAnsi="Times New Roman" w:cs="B Nazanin"/>
          <w:i/>
          <w:iCs/>
          <w:sz w:val="20"/>
          <w:lang w:val="en-GB"/>
        </w:rPr>
        <w:t>Philip Morris v. Uruguay</w:t>
      </w:r>
      <w:r w:rsidRPr="006679F2">
        <w:rPr>
          <w:rFonts w:ascii="Times New Roman" w:hAnsi="Times New Roman" w:cs="B Nazanin"/>
          <w:sz w:val="20"/>
          <w:lang w:val="en-GB"/>
        </w:rPr>
        <w:t>.</w:t>
      </w:r>
    </w:p>
    <w:p w14:paraId="1C8FA221" w14:textId="77777777" w:rsidR="0081613D" w:rsidRPr="006679F2" w:rsidRDefault="0081613D" w:rsidP="006679F2">
      <w:pPr>
        <w:pStyle w:val="ListParagraph"/>
        <w:numPr>
          <w:ilvl w:val="0"/>
          <w:numId w:val="30"/>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UNCTAD. (2020). </w:t>
      </w:r>
      <w:r w:rsidRPr="006679F2">
        <w:rPr>
          <w:rFonts w:ascii="Times New Roman" w:hAnsi="Times New Roman" w:cs="B Nazanin"/>
          <w:i/>
          <w:iCs/>
          <w:sz w:val="20"/>
          <w:lang w:val="en-GB"/>
        </w:rPr>
        <w:t>IIA reform accelerator</w:t>
      </w:r>
      <w:r w:rsidRPr="006679F2">
        <w:rPr>
          <w:rFonts w:ascii="Times New Roman" w:hAnsi="Times New Roman" w:cs="B Nazanin"/>
          <w:sz w:val="20"/>
          <w:lang w:val="en-GB"/>
        </w:rPr>
        <w:t>. United Nations.</w:t>
      </w:r>
    </w:p>
    <w:p w14:paraId="4D4BA022" w14:textId="77777777" w:rsidR="0081613D" w:rsidRPr="006679F2" w:rsidRDefault="0081613D" w:rsidP="006679F2">
      <w:pPr>
        <w:pStyle w:val="ListParagraph"/>
        <w:numPr>
          <w:ilvl w:val="0"/>
          <w:numId w:val="30"/>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UNCTAD. (2024). </w:t>
      </w:r>
      <w:r w:rsidRPr="006679F2">
        <w:rPr>
          <w:rFonts w:ascii="Times New Roman" w:hAnsi="Times New Roman" w:cs="B Nazanin"/>
          <w:i/>
          <w:iCs/>
          <w:sz w:val="20"/>
          <w:lang w:val="en-GB"/>
        </w:rPr>
        <w:t>Investment Policy Hub: Iran BIT database</w:t>
      </w:r>
      <w:r w:rsidRPr="006679F2">
        <w:rPr>
          <w:rFonts w:ascii="Times New Roman" w:hAnsi="Times New Roman" w:cs="B Nazanin"/>
          <w:sz w:val="20"/>
          <w:lang w:val="en-GB"/>
        </w:rPr>
        <w:t>. United Nations.</w:t>
      </w:r>
    </w:p>
    <w:p w14:paraId="694B1184" w14:textId="77777777" w:rsidR="0081613D" w:rsidRPr="006679F2" w:rsidRDefault="0081613D" w:rsidP="006679F2">
      <w:pPr>
        <w:pStyle w:val="ListParagraph"/>
        <w:numPr>
          <w:ilvl w:val="0"/>
          <w:numId w:val="30"/>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Barrick Gold Corporation. (2022, December). Reconstitution of the Reko </w:t>
      </w:r>
      <w:proofErr w:type="spellStart"/>
      <w:r w:rsidRPr="006679F2">
        <w:rPr>
          <w:rFonts w:ascii="Times New Roman" w:hAnsi="Times New Roman" w:cs="B Nazanin"/>
          <w:sz w:val="20"/>
          <w:lang w:val="en-GB"/>
        </w:rPr>
        <w:t>Diq</w:t>
      </w:r>
      <w:proofErr w:type="spellEnd"/>
      <w:r w:rsidRPr="006679F2">
        <w:rPr>
          <w:rFonts w:ascii="Times New Roman" w:hAnsi="Times New Roman" w:cs="B Nazanin"/>
          <w:sz w:val="20"/>
          <w:lang w:val="en-GB"/>
        </w:rPr>
        <w:t xml:space="preserve"> project completed [Press release].</w:t>
      </w:r>
    </w:p>
    <w:p w14:paraId="7FEBD4A2" w14:textId="59E4A181" w:rsidR="0081613D" w:rsidRPr="0081613D" w:rsidRDefault="0081613D" w:rsidP="0081613D">
      <w:pPr>
        <w:spacing w:after="0" w:line="360" w:lineRule="auto"/>
        <w:jc w:val="both"/>
        <w:rPr>
          <w:rFonts w:ascii="Times New Roman" w:hAnsi="Times New Roman" w:cs="B Nazanin"/>
          <w:sz w:val="20"/>
          <w:lang w:val="en-GB"/>
        </w:rPr>
      </w:pPr>
    </w:p>
    <w:p w14:paraId="15494955" w14:textId="3C3BC7CC" w:rsidR="0081613D" w:rsidRPr="0081613D" w:rsidRDefault="0081613D" w:rsidP="0081613D">
      <w:pPr>
        <w:spacing w:after="0" w:line="360" w:lineRule="auto"/>
        <w:jc w:val="both"/>
        <w:rPr>
          <w:rFonts w:ascii="Times New Roman" w:hAnsi="Times New Roman" w:cs="B Nazanin"/>
          <w:b/>
          <w:bCs/>
          <w:sz w:val="20"/>
          <w:lang w:val="en-GB"/>
        </w:rPr>
      </w:pPr>
      <w:r w:rsidRPr="0081613D">
        <w:rPr>
          <w:rFonts w:ascii="Times New Roman" w:hAnsi="Times New Roman" w:cs="B Nazanin"/>
          <w:b/>
          <w:bCs/>
          <w:sz w:val="20"/>
          <w:lang w:val="en-GB"/>
        </w:rPr>
        <w:t>Instruments, Rules &amp; Official Documents</w:t>
      </w:r>
      <w:r w:rsidR="006679F2" w:rsidRPr="006679F2">
        <w:rPr>
          <w:rFonts w:ascii="Times New Roman" w:hAnsi="Times New Roman" w:cs="B Nazanin"/>
          <w:b/>
          <w:bCs/>
          <w:sz w:val="20"/>
          <w:lang w:val="en-GB"/>
        </w:rPr>
        <w:t>:</w:t>
      </w:r>
    </w:p>
    <w:p w14:paraId="378F0CBC" w14:textId="77777777" w:rsidR="0081613D" w:rsidRPr="006679F2" w:rsidRDefault="0081613D" w:rsidP="006679F2">
      <w:pPr>
        <w:pStyle w:val="ListParagraph"/>
        <w:numPr>
          <w:ilvl w:val="0"/>
          <w:numId w:val="31"/>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ICSID. (1965). </w:t>
      </w:r>
      <w:r w:rsidRPr="006679F2">
        <w:rPr>
          <w:rFonts w:ascii="Times New Roman" w:hAnsi="Times New Roman" w:cs="B Nazanin"/>
          <w:i/>
          <w:iCs/>
          <w:sz w:val="20"/>
          <w:lang w:val="en-GB"/>
        </w:rPr>
        <w:t>Convention on the Settlement of Investment Disputes between States and Nationals of Other States</w:t>
      </w:r>
      <w:r w:rsidRPr="006679F2">
        <w:rPr>
          <w:rFonts w:ascii="Times New Roman" w:hAnsi="Times New Roman" w:cs="B Nazanin"/>
          <w:sz w:val="20"/>
          <w:lang w:val="en-GB"/>
        </w:rPr>
        <w:t xml:space="preserve"> (Washington, D.C.).</w:t>
      </w:r>
    </w:p>
    <w:p w14:paraId="05E84D62" w14:textId="77777777" w:rsidR="0081613D" w:rsidRPr="006679F2" w:rsidRDefault="0081613D" w:rsidP="006679F2">
      <w:pPr>
        <w:pStyle w:val="ListParagraph"/>
        <w:numPr>
          <w:ilvl w:val="0"/>
          <w:numId w:val="31"/>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ICSID. (2022). </w:t>
      </w:r>
      <w:r w:rsidRPr="006679F2">
        <w:rPr>
          <w:rFonts w:ascii="Times New Roman" w:hAnsi="Times New Roman" w:cs="B Nazanin"/>
          <w:i/>
          <w:iCs/>
          <w:sz w:val="20"/>
          <w:lang w:val="en-GB"/>
        </w:rPr>
        <w:t>ICSID Arbitration Rules (amended 2022)</w:t>
      </w:r>
      <w:r w:rsidRPr="006679F2">
        <w:rPr>
          <w:rFonts w:ascii="Times New Roman" w:hAnsi="Times New Roman" w:cs="B Nazanin"/>
          <w:sz w:val="20"/>
          <w:lang w:val="en-GB"/>
        </w:rPr>
        <w:t>.</w:t>
      </w:r>
    </w:p>
    <w:p w14:paraId="3BED6E36" w14:textId="77777777" w:rsidR="0081613D" w:rsidRPr="006679F2" w:rsidRDefault="0081613D" w:rsidP="006679F2">
      <w:pPr>
        <w:pStyle w:val="ListParagraph"/>
        <w:numPr>
          <w:ilvl w:val="0"/>
          <w:numId w:val="31"/>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ICSID Secretariat. (2020). </w:t>
      </w:r>
      <w:r w:rsidRPr="006679F2">
        <w:rPr>
          <w:rFonts w:ascii="Times New Roman" w:hAnsi="Times New Roman" w:cs="B Nazanin"/>
          <w:i/>
          <w:iCs/>
          <w:sz w:val="20"/>
          <w:lang w:val="en-GB"/>
        </w:rPr>
        <w:t>Observer and transitional membership models</w:t>
      </w:r>
      <w:r w:rsidRPr="006679F2">
        <w:rPr>
          <w:rFonts w:ascii="Times New Roman" w:hAnsi="Times New Roman" w:cs="B Nazanin"/>
          <w:sz w:val="20"/>
          <w:lang w:val="en-GB"/>
        </w:rPr>
        <w:t>. World Bank.</w:t>
      </w:r>
    </w:p>
    <w:p w14:paraId="1EA9DDA5" w14:textId="77777777" w:rsidR="0081613D" w:rsidRPr="006679F2" w:rsidRDefault="0081613D" w:rsidP="006679F2">
      <w:pPr>
        <w:pStyle w:val="ListParagraph"/>
        <w:numPr>
          <w:ilvl w:val="0"/>
          <w:numId w:val="31"/>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ICSID Secretariat. (2022). </w:t>
      </w:r>
      <w:r w:rsidRPr="006679F2">
        <w:rPr>
          <w:rFonts w:ascii="Times New Roman" w:hAnsi="Times New Roman" w:cs="B Nazanin"/>
          <w:i/>
          <w:iCs/>
          <w:sz w:val="20"/>
          <w:lang w:val="en-GB"/>
        </w:rPr>
        <w:t>2022 ICSID Rules: Confidentiality and transparency</w:t>
      </w:r>
      <w:r w:rsidRPr="006679F2">
        <w:rPr>
          <w:rFonts w:ascii="Times New Roman" w:hAnsi="Times New Roman" w:cs="B Nazanin"/>
          <w:sz w:val="20"/>
          <w:lang w:val="en-GB"/>
        </w:rPr>
        <w:t>. World Bank.</w:t>
      </w:r>
    </w:p>
    <w:p w14:paraId="75A8B61D" w14:textId="77777777" w:rsidR="0081613D" w:rsidRPr="006679F2" w:rsidRDefault="0081613D" w:rsidP="006679F2">
      <w:pPr>
        <w:pStyle w:val="ListParagraph"/>
        <w:numPr>
          <w:ilvl w:val="0"/>
          <w:numId w:val="31"/>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ICSID Secretariat. (2022). </w:t>
      </w:r>
      <w:r w:rsidRPr="006679F2">
        <w:rPr>
          <w:rFonts w:ascii="Times New Roman" w:hAnsi="Times New Roman" w:cs="B Nazanin"/>
          <w:i/>
          <w:iCs/>
          <w:sz w:val="20"/>
          <w:lang w:val="en-GB"/>
        </w:rPr>
        <w:t>New ICSID Mediation Rules</w:t>
      </w:r>
      <w:r w:rsidRPr="006679F2">
        <w:rPr>
          <w:rFonts w:ascii="Times New Roman" w:hAnsi="Times New Roman" w:cs="B Nazanin"/>
          <w:sz w:val="20"/>
          <w:lang w:val="en-GB"/>
        </w:rPr>
        <w:t>. World Bank.</w:t>
      </w:r>
    </w:p>
    <w:p w14:paraId="645F790F" w14:textId="77777777" w:rsidR="0081613D" w:rsidRPr="006679F2" w:rsidRDefault="0081613D" w:rsidP="006679F2">
      <w:pPr>
        <w:pStyle w:val="ListParagraph"/>
        <w:numPr>
          <w:ilvl w:val="0"/>
          <w:numId w:val="31"/>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New York Convention on the Recognition and Enforcement of Foreign Arbitral Awards. (1958).</w:t>
      </w:r>
    </w:p>
    <w:p w14:paraId="3DB41E79" w14:textId="77777777" w:rsidR="0081613D" w:rsidRPr="006679F2" w:rsidRDefault="0081613D" w:rsidP="006679F2">
      <w:pPr>
        <w:pStyle w:val="ListParagraph"/>
        <w:numPr>
          <w:ilvl w:val="0"/>
          <w:numId w:val="31"/>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UNCITRAL. (2013). </w:t>
      </w:r>
      <w:r w:rsidRPr="006679F2">
        <w:rPr>
          <w:rFonts w:ascii="Times New Roman" w:hAnsi="Times New Roman" w:cs="B Nazanin"/>
          <w:i/>
          <w:iCs/>
          <w:sz w:val="20"/>
          <w:lang w:val="en-GB"/>
        </w:rPr>
        <w:t>Rules on transparency in treaty-based investor–State arbitration</w:t>
      </w:r>
      <w:r w:rsidRPr="006679F2">
        <w:rPr>
          <w:rFonts w:ascii="Times New Roman" w:hAnsi="Times New Roman" w:cs="B Nazanin"/>
          <w:sz w:val="20"/>
          <w:lang w:val="en-GB"/>
        </w:rPr>
        <w:t>. United Nations.</w:t>
      </w:r>
    </w:p>
    <w:p w14:paraId="4201E29F" w14:textId="77777777" w:rsidR="0081613D" w:rsidRDefault="0081613D" w:rsidP="006679F2">
      <w:pPr>
        <w:pStyle w:val="ListParagraph"/>
        <w:numPr>
          <w:ilvl w:val="0"/>
          <w:numId w:val="31"/>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UN General Assembly. (1962). </w:t>
      </w:r>
      <w:r w:rsidRPr="006679F2">
        <w:rPr>
          <w:rFonts w:ascii="Times New Roman" w:hAnsi="Times New Roman" w:cs="B Nazanin"/>
          <w:i/>
          <w:iCs/>
          <w:sz w:val="20"/>
          <w:lang w:val="en-GB"/>
        </w:rPr>
        <w:t>Resolution 1803 (XVII): Permanent sovereignty over natural resources</w:t>
      </w:r>
      <w:r w:rsidRPr="006679F2">
        <w:rPr>
          <w:rFonts w:ascii="Times New Roman" w:hAnsi="Times New Roman" w:cs="B Nazanin"/>
          <w:sz w:val="20"/>
          <w:lang w:val="en-GB"/>
        </w:rPr>
        <w:t>.</w:t>
      </w:r>
    </w:p>
    <w:p w14:paraId="7FA19024" w14:textId="77777777" w:rsidR="006679F2" w:rsidRPr="006679F2" w:rsidRDefault="006679F2" w:rsidP="006679F2">
      <w:pPr>
        <w:pStyle w:val="ListParagraph"/>
        <w:spacing w:after="0" w:line="360" w:lineRule="auto"/>
        <w:ind w:left="426"/>
        <w:jc w:val="both"/>
        <w:rPr>
          <w:rFonts w:ascii="Times New Roman" w:hAnsi="Times New Roman" w:cs="B Nazanin"/>
          <w:sz w:val="20"/>
          <w:lang w:val="en-GB"/>
        </w:rPr>
      </w:pPr>
    </w:p>
    <w:p w14:paraId="3D3CFED8" w14:textId="0DE8EF94" w:rsidR="0081613D" w:rsidRPr="0081613D" w:rsidRDefault="0081613D" w:rsidP="0081613D">
      <w:pPr>
        <w:spacing w:after="0" w:line="360" w:lineRule="auto"/>
        <w:jc w:val="both"/>
        <w:rPr>
          <w:rFonts w:ascii="Times New Roman" w:hAnsi="Times New Roman" w:cs="B Nazanin"/>
          <w:b/>
          <w:bCs/>
          <w:sz w:val="20"/>
          <w:lang w:val="en-GB"/>
        </w:rPr>
      </w:pPr>
      <w:r w:rsidRPr="0081613D">
        <w:rPr>
          <w:rFonts w:ascii="Times New Roman" w:hAnsi="Times New Roman" w:cs="B Nazanin"/>
          <w:b/>
          <w:bCs/>
          <w:sz w:val="20"/>
          <w:lang w:val="en-GB"/>
        </w:rPr>
        <w:t>Cases, Decisions &amp; Awards</w:t>
      </w:r>
      <w:r w:rsidR="006679F2" w:rsidRPr="006679F2">
        <w:rPr>
          <w:rFonts w:ascii="Times New Roman" w:hAnsi="Times New Roman" w:cs="B Nazanin"/>
          <w:b/>
          <w:bCs/>
          <w:sz w:val="20"/>
          <w:lang w:val="en-GB"/>
        </w:rPr>
        <w:t>:</w:t>
      </w:r>
    </w:p>
    <w:p w14:paraId="680976D0"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proofErr w:type="spellStart"/>
      <w:r w:rsidRPr="006679F2">
        <w:rPr>
          <w:rFonts w:ascii="Times New Roman" w:hAnsi="Times New Roman" w:cs="B Nazanin"/>
          <w:sz w:val="20"/>
          <w:lang w:val="en-GB"/>
        </w:rPr>
        <w:t>Compañía</w:t>
      </w:r>
      <w:proofErr w:type="spellEnd"/>
      <w:r w:rsidRPr="006679F2">
        <w:rPr>
          <w:rFonts w:ascii="Times New Roman" w:hAnsi="Times New Roman" w:cs="B Nazanin"/>
          <w:sz w:val="20"/>
          <w:lang w:val="en-GB"/>
        </w:rPr>
        <w:t xml:space="preserve"> de Aguas del </w:t>
      </w:r>
      <w:proofErr w:type="spellStart"/>
      <w:r w:rsidRPr="006679F2">
        <w:rPr>
          <w:rFonts w:ascii="Times New Roman" w:hAnsi="Times New Roman" w:cs="B Nazanin"/>
          <w:sz w:val="20"/>
          <w:lang w:val="en-GB"/>
        </w:rPr>
        <w:t>Aconquija</w:t>
      </w:r>
      <w:proofErr w:type="spellEnd"/>
      <w:r w:rsidRPr="006679F2">
        <w:rPr>
          <w:rFonts w:ascii="Times New Roman" w:hAnsi="Times New Roman" w:cs="B Nazanin"/>
          <w:sz w:val="20"/>
          <w:lang w:val="en-GB"/>
        </w:rPr>
        <w:t xml:space="preserve"> S.A. &amp; Vivendi Universal S.A. v. Argentine Republic, ICSID Case No. ARB/97/3, Decision on Annulment (July 3, 2002).</w:t>
      </w:r>
    </w:p>
    <w:p w14:paraId="4E1FFB4E"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Ioan Micula, Viorel Micula, S.C. European Food S.A., S.C. </w:t>
      </w:r>
      <w:proofErr w:type="spellStart"/>
      <w:r w:rsidRPr="006679F2">
        <w:rPr>
          <w:rFonts w:ascii="Times New Roman" w:hAnsi="Times New Roman" w:cs="B Nazanin"/>
          <w:sz w:val="20"/>
          <w:lang w:val="en-GB"/>
        </w:rPr>
        <w:t>Starmill</w:t>
      </w:r>
      <w:proofErr w:type="spellEnd"/>
      <w:r w:rsidRPr="006679F2">
        <w:rPr>
          <w:rFonts w:ascii="Times New Roman" w:hAnsi="Times New Roman" w:cs="B Nazanin"/>
          <w:sz w:val="20"/>
          <w:lang w:val="en-GB"/>
        </w:rPr>
        <w:t xml:space="preserve"> S.R.L., &amp; S.C. Multipack S.R.L. v. Romania, ICSID Case No. ARB/05/20, Award (December 11, 2013).</w:t>
      </w:r>
    </w:p>
    <w:p w14:paraId="3BF8AED6"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Masdar Solar &amp; Wind </w:t>
      </w:r>
      <w:proofErr w:type="spellStart"/>
      <w:r w:rsidRPr="006679F2">
        <w:rPr>
          <w:rFonts w:ascii="Times New Roman" w:hAnsi="Times New Roman" w:cs="B Nazanin"/>
          <w:sz w:val="20"/>
          <w:lang w:val="en-GB"/>
        </w:rPr>
        <w:t>Cooperatief</w:t>
      </w:r>
      <w:proofErr w:type="spellEnd"/>
      <w:r w:rsidRPr="006679F2">
        <w:rPr>
          <w:rFonts w:ascii="Times New Roman" w:hAnsi="Times New Roman" w:cs="B Nazanin"/>
          <w:sz w:val="20"/>
          <w:lang w:val="en-GB"/>
        </w:rPr>
        <w:t xml:space="preserve"> U.A. v. Kingdom of Spain, ICSID Case No. ARB/14/1 (2018).</w:t>
      </w:r>
    </w:p>
    <w:p w14:paraId="4E5816DE"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Occidental Petroleum Corporation v. Republic of Ecuador, ICSID Case No. ARB/06/11, Award (October 5, 2012).</w:t>
      </w:r>
    </w:p>
    <w:p w14:paraId="2472154C"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Occidental Petroleum Corporation v. Republic of Ecuador, ICSID Case No. ARB/06/11, Decision on Annulment (November 2, 2015).</w:t>
      </w:r>
    </w:p>
    <w:p w14:paraId="47A7C57F"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Philip Morris Brands Sàrl, Philip Morris Products S.A., &amp; Abal Hermanos S.A. v. Oriental Republic of Uruguay, ICSID Case No. ARB/10/7, Award (July 8, 2016).</w:t>
      </w:r>
    </w:p>
    <w:p w14:paraId="0A507E85"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Phoenix Action, Ltd. v. Czech Republic, ICSID Case No. ARB/06/5, Award (April 15, 2009).</w:t>
      </w:r>
    </w:p>
    <w:p w14:paraId="4D125E93"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Salini </w:t>
      </w:r>
      <w:proofErr w:type="spellStart"/>
      <w:r w:rsidRPr="006679F2">
        <w:rPr>
          <w:rFonts w:ascii="Times New Roman" w:hAnsi="Times New Roman" w:cs="B Nazanin"/>
          <w:sz w:val="20"/>
          <w:lang w:val="en-GB"/>
        </w:rPr>
        <w:t>Costruttori</w:t>
      </w:r>
      <w:proofErr w:type="spellEnd"/>
      <w:r w:rsidRPr="006679F2">
        <w:rPr>
          <w:rFonts w:ascii="Times New Roman" w:hAnsi="Times New Roman" w:cs="B Nazanin"/>
          <w:sz w:val="20"/>
          <w:lang w:val="en-GB"/>
        </w:rPr>
        <w:t xml:space="preserve"> S.p.A. &amp; </w:t>
      </w:r>
      <w:proofErr w:type="spellStart"/>
      <w:r w:rsidRPr="006679F2">
        <w:rPr>
          <w:rFonts w:ascii="Times New Roman" w:hAnsi="Times New Roman" w:cs="B Nazanin"/>
          <w:sz w:val="20"/>
          <w:lang w:val="en-GB"/>
        </w:rPr>
        <w:t>Italstrade</w:t>
      </w:r>
      <w:proofErr w:type="spellEnd"/>
      <w:r w:rsidRPr="006679F2">
        <w:rPr>
          <w:rFonts w:ascii="Times New Roman" w:hAnsi="Times New Roman" w:cs="B Nazanin"/>
          <w:sz w:val="20"/>
          <w:lang w:val="en-GB"/>
        </w:rPr>
        <w:t xml:space="preserve"> S.p.A. v. Kingdom of Morocco, ICSID Case No. ARB/00/4, Decision on Jurisdiction (July 23, 2001).</w:t>
      </w:r>
    </w:p>
    <w:p w14:paraId="54C31853"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Tethyan Copper Company Pty Limited v. Islamic Republic of Pakistan, ICSID Case No. ARB/12/1, Award (July 12, 2019).</w:t>
      </w:r>
    </w:p>
    <w:p w14:paraId="5B8909B5"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proofErr w:type="spellStart"/>
      <w:r w:rsidRPr="006679F2">
        <w:rPr>
          <w:rFonts w:ascii="Times New Roman" w:hAnsi="Times New Roman" w:cs="B Nazanin"/>
          <w:sz w:val="20"/>
          <w:lang w:val="en-GB"/>
        </w:rPr>
        <w:t>Tokios</w:t>
      </w:r>
      <w:proofErr w:type="spellEnd"/>
      <w:r w:rsidRPr="006679F2">
        <w:rPr>
          <w:rFonts w:ascii="Times New Roman" w:hAnsi="Times New Roman" w:cs="B Nazanin"/>
          <w:sz w:val="20"/>
          <w:lang w:val="en-GB"/>
        </w:rPr>
        <w:t xml:space="preserve"> </w:t>
      </w:r>
      <w:proofErr w:type="spellStart"/>
      <w:r w:rsidRPr="006679F2">
        <w:rPr>
          <w:rFonts w:ascii="Times New Roman" w:hAnsi="Times New Roman" w:cs="B Nazanin"/>
          <w:sz w:val="20"/>
          <w:lang w:val="en-GB"/>
        </w:rPr>
        <w:t>Tokelés</w:t>
      </w:r>
      <w:proofErr w:type="spellEnd"/>
      <w:r w:rsidRPr="006679F2">
        <w:rPr>
          <w:rFonts w:ascii="Times New Roman" w:hAnsi="Times New Roman" w:cs="B Nazanin"/>
          <w:sz w:val="20"/>
          <w:lang w:val="en-GB"/>
        </w:rPr>
        <w:t xml:space="preserve"> v. Ukraine, ICSID Case No. ARB/02/18, Decision on Jurisdiction (April 29, 2004).</w:t>
      </w:r>
    </w:p>
    <w:p w14:paraId="334651A0" w14:textId="77777777" w:rsidR="0081613D" w:rsidRPr="006679F2" w:rsidRDefault="0081613D" w:rsidP="006679F2">
      <w:pPr>
        <w:pStyle w:val="ListParagraph"/>
        <w:numPr>
          <w:ilvl w:val="0"/>
          <w:numId w:val="32"/>
        </w:numPr>
        <w:spacing w:after="0" w:line="360" w:lineRule="auto"/>
        <w:ind w:left="426"/>
        <w:jc w:val="both"/>
        <w:rPr>
          <w:rFonts w:ascii="Times New Roman" w:hAnsi="Times New Roman" w:cs="B Nazanin"/>
          <w:sz w:val="20"/>
          <w:lang w:val="en-GB"/>
        </w:rPr>
      </w:pPr>
      <w:r w:rsidRPr="006679F2">
        <w:rPr>
          <w:rFonts w:ascii="Times New Roman" w:hAnsi="Times New Roman" w:cs="B Nazanin"/>
          <w:sz w:val="20"/>
          <w:lang w:val="en-GB"/>
        </w:rPr>
        <w:t xml:space="preserve">Urbaser S.A. &amp; Consorcio de Aguas Bilbao Bizkaia, Bilbao </w:t>
      </w:r>
      <w:proofErr w:type="spellStart"/>
      <w:r w:rsidRPr="006679F2">
        <w:rPr>
          <w:rFonts w:ascii="Times New Roman" w:hAnsi="Times New Roman" w:cs="B Nazanin"/>
          <w:sz w:val="20"/>
          <w:lang w:val="en-GB"/>
        </w:rPr>
        <w:t>Biskaia</w:t>
      </w:r>
      <w:proofErr w:type="spellEnd"/>
      <w:r w:rsidRPr="006679F2">
        <w:rPr>
          <w:rFonts w:ascii="Times New Roman" w:hAnsi="Times New Roman" w:cs="B Nazanin"/>
          <w:sz w:val="20"/>
          <w:lang w:val="en-GB"/>
        </w:rPr>
        <w:t xml:space="preserve"> Ur </w:t>
      </w:r>
      <w:proofErr w:type="spellStart"/>
      <w:r w:rsidRPr="006679F2">
        <w:rPr>
          <w:rFonts w:ascii="Times New Roman" w:hAnsi="Times New Roman" w:cs="B Nazanin"/>
          <w:sz w:val="20"/>
          <w:lang w:val="en-GB"/>
        </w:rPr>
        <w:t>Partzuergoa</w:t>
      </w:r>
      <w:proofErr w:type="spellEnd"/>
      <w:r w:rsidRPr="006679F2">
        <w:rPr>
          <w:rFonts w:ascii="Times New Roman" w:hAnsi="Times New Roman" w:cs="B Nazanin"/>
          <w:sz w:val="20"/>
          <w:lang w:val="en-GB"/>
        </w:rPr>
        <w:t xml:space="preserve"> v. Argentine Republic, ICSID Case No. ARB/07/26, Award (December 8, 2016).</w:t>
      </w:r>
    </w:p>
    <w:p w14:paraId="26711282" w14:textId="77777777" w:rsidR="001F3F96" w:rsidRPr="0081613D" w:rsidRDefault="001F3F96" w:rsidP="0081613D">
      <w:pPr>
        <w:spacing w:after="0" w:line="360" w:lineRule="auto"/>
        <w:jc w:val="both"/>
        <w:rPr>
          <w:rFonts w:ascii="Times New Roman" w:hAnsi="Times New Roman" w:cs="B Nazanin"/>
          <w:sz w:val="20"/>
          <w:szCs w:val="26"/>
          <w:lang w:val="en-GB"/>
        </w:rPr>
      </w:pPr>
    </w:p>
    <w:p w14:paraId="547E3A66" w14:textId="77777777" w:rsidR="001F3F96" w:rsidRPr="0081613D" w:rsidRDefault="001F3F96" w:rsidP="0081613D">
      <w:pPr>
        <w:spacing w:after="0" w:line="360" w:lineRule="auto"/>
        <w:jc w:val="both"/>
        <w:rPr>
          <w:rFonts w:ascii="Times New Roman" w:hAnsi="Times New Roman" w:cs="B Nazanin"/>
          <w:sz w:val="20"/>
          <w:szCs w:val="26"/>
          <w:rtl/>
          <w:lang w:val="en-GB"/>
        </w:rPr>
      </w:pPr>
    </w:p>
    <w:p w14:paraId="6E2D74B3" w14:textId="77777777" w:rsidR="001F3F96" w:rsidRDefault="001F3F96" w:rsidP="0081613D">
      <w:pPr>
        <w:spacing w:after="0" w:line="360" w:lineRule="auto"/>
        <w:jc w:val="both"/>
        <w:rPr>
          <w:rFonts w:ascii="Times New Roman" w:hAnsi="Times New Roman" w:cs="B Nazanin"/>
          <w:sz w:val="20"/>
          <w:szCs w:val="26"/>
          <w:lang w:val="en-GB"/>
        </w:rPr>
      </w:pPr>
    </w:p>
    <w:p w14:paraId="2F49C6B0" w14:textId="77777777" w:rsidR="00305B8C" w:rsidRDefault="00305B8C" w:rsidP="0081613D">
      <w:pPr>
        <w:spacing w:after="0" w:line="360" w:lineRule="auto"/>
        <w:jc w:val="both"/>
        <w:rPr>
          <w:rFonts w:ascii="Times New Roman" w:hAnsi="Times New Roman" w:cs="B Nazanin"/>
          <w:sz w:val="20"/>
          <w:szCs w:val="26"/>
          <w:lang w:val="en-GB"/>
        </w:rPr>
      </w:pPr>
    </w:p>
    <w:p w14:paraId="19B374BB" w14:textId="77777777" w:rsidR="00305B8C" w:rsidRDefault="00305B8C" w:rsidP="0081613D">
      <w:pPr>
        <w:spacing w:after="0" w:line="360" w:lineRule="auto"/>
        <w:jc w:val="both"/>
        <w:rPr>
          <w:rFonts w:ascii="Times New Roman" w:hAnsi="Times New Roman" w:cs="B Nazanin"/>
          <w:sz w:val="20"/>
          <w:szCs w:val="26"/>
          <w:lang w:val="en-GB"/>
        </w:rPr>
      </w:pPr>
    </w:p>
    <w:p w14:paraId="3CF2FF48" w14:textId="77777777" w:rsidR="00305B8C" w:rsidRDefault="00305B8C" w:rsidP="0081613D">
      <w:pPr>
        <w:spacing w:after="0" w:line="360" w:lineRule="auto"/>
        <w:jc w:val="both"/>
        <w:rPr>
          <w:rFonts w:ascii="Times New Roman" w:hAnsi="Times New Roman" w:cs="B Nazanin"/>
          <w:sz w:val="20"/>
          <w:szCs w:val="26"/>
          <w:lang w:val="en-GB"/>
        </w:rPr>
      </w:pPr>
    </w:p>
    <w:p w14:paraId="73CC9B8D" w14:textId="77777777" w:rsidR="00305B8C" w:rsidRDefault="00305B8C" w:rsidP="0081613D">
      <w:pPr>
        <w:spacing w:after="0" w:line="360" w:lineRule="auto"/>
        <w:jc w:val="both"/>
        <w:rPr>
          <w:rFonts w:ascii="Times New Roman" w:hAnsi="Times New Roman" w:cs="B Nazanin"/>
          <w:sz w:val="20"/>
          <w:szCs w:val="26"/>
          <w:lang w:val="en-GB"/>
        </w:rPr>
      </w:pPr>
    </w:p>
    <w:p w14:paraId="26109C43" w14:textId="77777777" w:rsidR="00305B8C" w:rsidRDefault="00305B8C" w:rsidP="0081613D">
      <w:pPr>
        <w:spacing w:after="0" w:line="360" w:lineRule="auto"/>
        <w:jc w:val="both"/>
        <w:rPr>
          <w:rFonts w:ascii="Times New Roman" w:hAnsi="Times New Roman" w:cs="B Nazanin"/>
          <w:sz w:val="20"/>
          <w:szCs w:val="26"/>
          <w:lang w:val="en-GB"/>
        </w:rPr>
      </w:pPr>
    </w:p>
    <w:p w14:paraId="5E2617EA" w14:textId="77777777" w:rsidR="00305B8C" w:rsidRDefault="00305B8C" w:rsidP="0081613D">
      <w:pPr>
        <w:spacing w:after="0" w:line="360" w:lineRule="auto"/>
        <w:jc w:val="both"/>
        <w:rPr>
          <w:rFonts w:ascii="Times New Roman" w:hAnsi="Times New Roman" w:cs="B Nazanin"/>
          <w:sz w:val="20"/>
          <w:szCs w:val="26"/>
          <w:lang w:val="en-GB"/>
        </w:rPr>
      </w:pPr>
    </w:p>
    <w:p w14:paraId="4CF4FED7" w14:textId="77777777" w:rsidR="00305B8C" w:rsidRDefault="00305B8C" w:rsidP="0081613D">
      <w:pPr>
        <w:spacing w:after="0" w:line="360" w:lineRule="auto"/>
        <w:jc w:val="both"/>
        <w:rPr>
          <w:rFonts w:ascii="Times New Roman" w:hAnsi="Times New Roman" w:cs="B Nazanin"/>
          <w:sz w:val="20"/>
          <w:szCs w:val="26"/>
          <w:lang w:val="en-GB"/>
        </w:rPr>
      </w:pPr>
    </w:p>
    <w:p w14:paraId="77C6FE4B" w14:textId="77777777" w:rsidR="00305B8C" w:rsidRDefault="00305B8C" w:rsidP="0081613D">
      <w:pPr>
        <w:spacing w:after="0" w:line="360" w:lineRule="auto"/>
        <w:jc w:val="both"/>
        <w:rPr>
          <w:rFonts w:ascii="Times New Roman" w:hAnsi="Times New Roman" w:cs="B Nazanin"/>
          <w:sz w:val="20"/>
          <w:szCs w:val="26"/>
          <w:lang w:val="en-GB"/>
        </w:rPr>
      </w:pPr>
    </w:p>
    <w:p w14:paraId="7F25CDE8" w14:textId="77777777" w:rsidR="00305B8C" w:rsidRPr="0081613D" w:rsidRDefault="00305B8C" w:rsidP="0081613D">
      <w:pPr>
        <w:spacing w:after="0" w:line="360" w:lineRule="auto"/>
        <w:jc w:val="both"/>
        <w:rPr>
          <w:rFonts w:ascii="Times New Roman" w:hAnsi="Times New Roman" w:cs="B Nazanin"/>
          <w:sz w:val="20"/>
          <w:szCs w:val="26"/>
          <w:rtl/>
          <w:lang w:val="en-GB"/>
        </w:rPr>
      </w:pPr>
    </w:p>
    <w:p w14:paraId="7BA10071" w14:textId="77777777" w:rsidR="00333EE3" w:rsidRDefault="00333EE3" w:rsidP="0081613D">
      <w:pPr>
        <w:spacing w:after="0" w:line="360" w:lineRule="auto"/>
        <w:jc w:val="both"/>
        <w:rPr>
          <w:rFonts w:ascii="Times New Roman" w:hAnsi="Times New Roman" w:cs="B Nazanin"/>
          <w:sz w:val="20"/>
          <w:szCs w:val="26"/>
          <w:rtl/>
          <w:lang w:val="en-GB"/>
        </w:rPr>
      </w:pPr>
    </w:p>
    <w:p w14:paraId="378834B0" w14:textId="77777777" w:rsidR="00305B8C" w:rsidRDefault="00305B8C" w:rsidP="0081613D">
      <w:pPr>
        <w:spacing w:after="0" w:line="360" w:lineRule="auto"/>
        <w:jc w:val="both"/>
        <w:rPr>
          <w:rFonts w:ascii="Times New Roman" w:hAnsi="Times New Roman" w:cs="B Nazanin"/>
          <w:sz w:val="20"/>
          <w:szCs w:val="26"/>
          <w:rtl/>
          <w:lang w:val="en-GB"/>
        </w:rPr>
      </w:pPr>
    </w:p>
    <w:p w14:paraId="04D30654" w14:textId="77777777" w:rsidR="00352F94" w:rsidRPr="0081613D" w:rsidRDefault="00352F94" w:rsidP="0081613D">
      <w:pPr>
        <w:spacing w:after="0" w:line="360" w:lineRule="auto"/>
        <w:jc w:val="both"/>
        <w:rPr>
          <w:rFonts w:ascii="Times New Roman" w:hAnsi="Times New Roman" w:cs="B Nazanin"/>
          <w:sz w:val="20"/>
          <w:szCs w:val="26"/>
          <w:rtl/>
          <w:lang w:val="en-GB"/>
        </w:rPr>
      </w:pPr>
    </w:p>
    <w:p w14:paraId="202FA3B5" w14:textId="77777777" w:rsidR="00305B8C" w:rsidRPr="00305B8C" w:rsidRDefault="00305B8C" w:rsidP="00305B8C">
      <w:pPr>
        <w:spacing w:after="0" w:line="276" w:lineRule="auto"/>
        <w:jc w:val="center"/>
        <w:rPr>
          <w:rFonts w:ascii="Times New Roman" w:hAnsi="Times New Roman" w:cs="B Nazanin"/>
          <w:b/>
          <w:bCs/>
          <w:sz w:val="28"/>
          <w:szCs w:val="36"/>
        </w:rPr>
      </w:pPr>
      <w:r w:rsidRPr="00305B8C">
        <w:rPr>
          <w:rFonts w:ascii="Times New Roman" w:hAnsi="Times New Roman" w:cs="B Nazanin"/>
          <w:b/>
          <w:bCs/>
          <w:sz w:val="28"/>
          <w:szCs w:val="36"/>
        </w:rPr>
        <w:lastRenderedPageBreak/>
        <w:t>The Transformation of the ICSID System Following the 2022 Reforms</w:t>
      </w:r>
    </w:p>
    <w:p w14:paraId="72004204" w14:textId="5EA8105F" w:rsidR="00181CC2" w:rsidRPr="00305B8C" w:rsidRDefault="00305B8C" w:rsidP="00305B8C">
      <w:pPr>
        <w:spacing w:after="0" w:line="276" w:lineRule="auto"/>
        <w:jc w:val="center"/>
        <w:rPr>
          <w:rFonts w:ascii="Times New Roman" w:hAnsi="Times New Roman" w:cs="B Nazanin"/>
          <w:b/>
          <w:bCs/>
          <w:szCs w:val="32"/>
          <w:rtl/>
        </w:rPr>
      </w:pPr>
      <w:r w:rsidRPr="00305B8C">
        <w:rPr>
          <w:rFonts w:ascii="Times New Roman" w:hAnsi="Times New Roman" w:cs="B Nazanin"/>
          <w:b/>
          <w:bCs/>
          <w:szCs w:val="32"/>
        </w:rPr>
        <w:t>(Legitimacy, Transparency, and Efficiency in Investment Arbitration)</w:t>
      </w:r>
    </w:p>
    <w:p w14:paraId="0805D9DD" w14:textId="77777777" w:rsidR="00305B8C" w:rsidRDefault="00305B8C" w:rsidP="00305B8C">
      <w:pPr>
        <w:spacing w:after="0" w:line="276" w:lineRule="auto"/>
        <w:jc w:val="center"/>
        <w:rPr>
          <w:rFonts w:ascii="Times New Roman" w:hAnsi="Times New Roman" w:cs="B Nazanin"/>
          <w:b/>
          <w:bCs/>
          <w:sz w:val="20"/>
          <w:szCs w:val="26"/>
        </w:rPr>
      </w:pPr>
    </w:p>
    <w:p w14:paraId="08164D38" w14:textId="5D75043F" w:rsidR="00AB0D73" w:rsidRPr="00AB0D73" w:rsidRDefault="00AB0D73" w:rsidP="0042187B">
      <w:pPr>
        <w:spacing w:after="0" w:line="276" w:lineRule="auto"/>
        <w:jc w:val="center"/>
        <w:rPr>
          <w:rFonts w:ascii="Times New Roman" w:hAnsi="Times New Roman" w:cs="B Nazanin"/>
          <w:b/>
          <w:bCs/>
          <w:sz w:val="20"/>
          <w:szCs w:val="26"/>
        </w:rPr>
      </w:pPr>
      <w:r w:rsidRPr="00AB0D73">
        <w:rPr>
          <w:rFonts w:ascii="Times New Roman" w:hAnsi="Times New Roman" w:cs="B Nazanin"/>
          <w:b/>
          <w:bCs/>
          <w:sz w:val="20"/>
          <w:szCs w:val="26"/>
        </w:rPr>
        <w:t>Ali Akbar Ghorban</w:t>
      </w:r>
      <w:r w:rsidRPr="00AB0D73">
        <w:rPr>
          <w:rFonts w:ascii="Times New Roman" w:hAnsi="Times New Roman" w:cs="B Nazanin"/>
          <w:b/>
          <w:bCs/>
          <w:sz w:val="20"/>
          <w:szCs w:val="26"/>
          <w:rtl/>
        </w:rPr>
        <w:t xml:space="preserve"> </w:t>
      </w:r>
      <w:r w:rsidRPr="00AB0D73">
        <w:rPr>
          <w:rFonts w:ascii="Times New Roman" w:hAnsi="Times New Roman" w:cs="B Nazanin"/>
          <w:b/>
          <w:bCs/>
          <w:sz w:val="20"/>
          <w:szCs w:val="26"/>
        </w:rPr>
        <w:t>Jahromi</w:t>
      </w:r>
    </w:p>
    <w:p w14:paraId="5A9D0940" w14:textId="06876045" w:rsidR="00AB0D73" w:rsidRPr="00181CC2" w:rsidRDefault="00181CC2" w:rsidP="0042187B">
      <w:pPr>
        <w:spacing w:after="0" w:line="276" w:lineRule="auto"/>
        <w:jc w:val="center"/>
        <w:rPr>
          <w:rFonts w:ascii="Times New Roman" w:hAnsi="Times New Roman" w:cs="B Nazanin"/>
          <w:sz w:val="18"/>
        </w:rPr>
      </w:pPr>
      <w:r>
        <w:rPr>
          <w:rFonts w:ascii="Times New Roman" w:hAnsi="Times New Roman" w:cs="B Nazanin"/>
          <w:sz w:val="18"/>
        </w:rPr>
        <w:t xml:space="preserve">PHD. Student, </w:t>
      </w:r>
      <w:r w:rsidR="00AB0D73" w:rsidRPr="00181CC2">
        <w:rPr>
          <w:rFonts w:ascii="Times New Roman" w:hAnsi="Times New Roman" w:cs="B Nazanin"/>
          <w:sz w:val="18"/>
        </w:rPr>
        <w:t xml:space="preserve">Department Laws, NT.C., Islamic Azad University, Tehran, Iran. </w:t>
      </w:r>
    </w:p>
    <w:p w14:paraId="0A8DDF71" w14:textId="77777777" w:rsidR="001660A8" w:rsidRPr="00AB0D73" w:rsidRDefault="001660A8" w:rsidP="0042187B">
      <w:pPr>
        <w:spacing w:after="0" w:line="276" w:lineRule="auto"/>
        <w:jc w:val="both"/>
        <w:rPr>
          <w:rFonts w:ascii="Times New Roman" w:hAnsi="Times New Roman" w:cs="B Nazanin"/>
          <w:b/>
          <w:bCs/>
          <w:sz w:val="20"/>
          <w:szCs w:val="26"/>
          <w:rtl/>
        </w:rPr>
      </w:pPr>
    </w:p>
    <w:p w14:paraId="37245051" w14:textId="41D0357F" w:rsidR="007F4FED" w:rsidRPr="00AB0D73" w:rsidRDefault="007F4FED" w:rsidP="0042187B">
      <w:pPr>
        <w:spacing w:after="0" w:line="276" w:lineRule="auto"/>
        <w:jc w:val="both"/>
        <w:rPr>
          <w:rFonts w:ascii="Times New Roman" w:hAnsi="Times New Roman" w:cs="B Nazanin"/>
          <w:b/>
          <w:bCs/>
          <w:sz w:val="20"/>
          <w:szCs w:val="26"/>
        </w:rPr>
      </w:pPr>
      <w:r w:rsidRPr="00AB0D73">
        <w:rPr>
          <w:rFonts w:ascii="Times New Roman" w:hAnsi="Times New Roman" w:cs="B Nazanin"/>
          <w:b/>
          <w:bCs/>
          <w:sz w:val="20"/>
          <w:szCs w:val="26"/>
        </w:rPr>
        <w:t>Abstract</w:t>
      </w:r>
    </w:p>
    <w:p w14:paraId="2E5E8534" w14:textId="77777777" w:rsidR="0081613D" w:rsidRDefault="0081613D" w:rsidP="0042187B">
      <w:pPr>
        <w:spacing w:after="0" w:line="276" w:lineRule="auto"/>
        <w:jc w:val="both"/>
        <w:rPr>
          <w:rFonts w:ascii="Times New Roman" w:eastAsia="Times New Roman" w:hAnsi="Times New Roman" w:cs="Times New Roman"/>
          <w:kern w:val="0"/>
          <w:sz w:val="20"/>
          <w:szCs w:val="20"/>
          <w:rtl/>
          <w:lang w:val="en-GB" w:eastAsia="en-GB" w:bidi="ar-SA"/>
          <w14:ligatures w14:val="none"/>
        </w:rPr>
      </w:pPr>
      <w:r w:rsidRPr="0081613D">
        <w:rPr>
          <w:rFonts w:ascii="Times New Roman" w:eastAsia="Times New Roman" w:hAnsi="Times New Roman" w:cs="Times New Roman"/>
          <w:kern w:val="0"/>
          <w:sz w:val="20"/>
          <w:szCs w:val="20"/>
          <w:lang w:val="en-GB" w:eastAsia="en-GB" w:bidi="ar-SA"/>
          <w14:ligatures w14:val="none"/>
        </w:rPr>
        <w:t>The investor–State dispute settlement system under the ICSID Convention has increasingly faced criticism regarding legitimacy, transparency, and procedural efficiency. The 2022 ICSID Rules reforms were adopted in response to these concerns, aiming to recalibrate arbitral practice and strengthen public confidence in investment arbitration. This article adopts an analytical and critical approach to examine whether the 2022 reforms have generated a meaningful conceptual and substantive transformation in the ICSID system and how they affect the balance between investor protection and the State’s right to regulate. The findings indicate that the reforms have improved procedural transparency through broader publication practices, enhanced opportunities for third-party participation, and strengthened case management tools designed to reduce delays and control costs. Nevertheless, the structural legitimacy deficit has not been fully resolved, particularly due to the continued absence of a substantive appellate mechanism and the persistent inconsistency in the interpretation of key treaty standards. Accordingly, the 2022 reforms should be understood as an important step toward institutionalizing a shift from an investor-protection-oriented model to a more balance-oriented framework, rather than a complete solution to the underlying legitimacy challenges of the ICSID regime.</w:t>
      </w:r>
    </w:p>
    <w:p w14:paraId="0A03BDBF" w14:textId="77777777" w:rsidR="0081613D" w:rsidRPr="0081613D" w:rsidRDefault="0081613D" w:rsidP="0042187B">
      <w:pPr>
        <w:spacing w:after="0" w:line="276" w:lineRule="auto"/>
        <w:jc w:val="both"/>
        <w:rPr>
          <w:rFonts w:ascii="Times New Roman" w:eastAsia="Times New Roman" w:hAnsi="Times New Roman" w:cs="Times New Roman"/>
          <w:kern w:val="0"/>
          <w:sz w:val="20"/>
          <w:szCs w:val="20"/>
          <w:lang w:val="en-GB" w:eastAsia="en-GB" w:bidi="ar-SA"/>
          <w14:ligatures w14:val="none"/>
        </w:rPr>
      </w:pPr>
    </w:p>
    <w:p w14:paraId="7B28F2BB" w14:textId="77777777" w:rsidR="0081613D" w:rsidRPr="0081613D" w:rsidRDefault="0081613D" w:rsidP="0042187B">
      <w:pPr>
        <w:spacing w:after="0" w:line="276" w:lineRule="auto"/>
        <w:jc w:val="both"/>
        <w:rPr>
          <w:rFonts w:ascii="Times New Roman" w:eastAsia="Times New Roman" w:hAnsi="Times New Roman" w:cs="Times New Roman"/>
          <w:kern w:val="0"/>
          <w:sz w:val="20"/>
          <w:szCs w:val="20"/>
          <w:lang w:val="en-GB" w:eastAsia="en-GB" w:bidi="ar-SA"/>
          <w14:ligatures w14:val="none"/>
        </w:rPr>
      </w:pPr>
      <w:r w:rsidRPr="0081613D">
        <w:rPr>
          <w:rFonts w:ascii="Times New Roman" w:eastAsia="Times New Roman" w:hAnsi="Times New Roman" w:cs="Times New Roman"/>
          <w:b/>
          <w:bCs/>
          <w:kern w:val="0"/>
          <w:sz w:val="20"/>
          <w:szCs w:val="20"/>
          <w:lang w:val="en-GB" w:eastAsia="en-GB" w:bidi="ar-SA"/>
          <w14:ligatures w14:val="none"/>
        </w:rPr>
        <w:t>Keywords:</w:t>
      </w:r>
      <w:r w:rsidRPr="0081613D">
        <w:rPr>
          <w:rFonts w:ascii="Times New Roman" w:eastAsia="Times New Roman" w:hAnsi="Times New Roman" w:cs="Times New Roman"/>
          <w:kern w:val="0"/>
          <w:sz w:val="20"/>
          <w:szCs w:val="20"/>
          <w:lang w:val="en-GB" w:eastAsia="en-GB" w:bidi="ar-SA"/>
          <w14:ligatures w14:val="none"/>
        </w:rPr>
        <w:br/>
        <w:t>ICSID, investment arbitration, 2022 reforms, legitimacy, transparency, efficiency, Fair and Equitable Treatment (FET), right to regulate</w:t>
      </w:r>
    </w:p>
    <w:sectPr w:rsidR="0081613D" w:rsidRPr="0081613D" w:rsidSect="00CB23A5">
      <w:headerReference w:type="default" r:id="rId8"/>
      <w:footerReference w:type="default" r:id="rId9"/>
      <w:headerReference w:type="first" r:id="rId10"/>
      <w:pgSz w:w="11906" w:h="16838"/>
      <w:pgMar w:top="1979"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0028A" w14:textId="77777777" w:rsidR="004F2FF5" w:rsidRDefault="004F2FF5" w:rsidP="003043ED">
      <w:pPr>
        <w:spacing w:after="0" w:line="240" w:lineRule="auto"/>
      </w:pPr>
      <w:r>
        <w:separator/>
      </w:r>
    </w:p>
  </w:endnote>
  <w:endnote w:type="continuationSeparator" w:id="0">
    <w:p w14:paraId="0DBBB089" w14:textId="77777777" w:rsidR="004F2FF5" w:rsidRDefault="004F2FF5" w:rsidP="0030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8009315"/>
      <w:docPartObj>
        <w:docPartGallery w:val="Page Numbers (Bottom of Page)"/>
        <w:docPartUnique/>
      </w:docPartObj>
    </w:sdtPr>
    <w:sdtEndPr>
      <w:rPr>
        <w:noProof/>
      </w:rPr>
    </w:sdtEndPr>
    <w:sdtContent>
      <w:p w14:paraId="67CB47F1" w14:textId="4EA044F4" w:rsidR="00D9305B" w:rsidRDefault="00D9305B">
        <w:pPr>
          <w:pStyle w:val="Footer"/>
          <w:jc w:val="center"/>
        </w:pPr>
        <w:r w:rsidRPr="00D9305B">
          <w:rPr>
            <w:rFonts w:ascii="B Nazanin" w:hAnsi="B Nazanin"/>
            <w:sz w:val="28"/>
          </w:rPr>
          <w:fldChar w:fldCharType="begin"/>
        </w:r>
        <w:r w:rsidRPr="00D9305B">
          <w:rPr>
            <w:rFonts w:ascii="B Nazanin" w:hAnsi="B Nazanin"/>
            <w:sz w:val="28"/>
          </w:rPr>
          <w:instrText xml:space="preserve"> PAGE   \* MERGEFORMAT </w:instrText>
        </w:r>
        <w:r w:rsidRPr="00D9305B">
          <w:rPr>
            <w:rFonts w:ascii="B Nazanin" w:hAnsi="B Nazanin"/>
            <w:sz w:val="28"/>
          </w:rPr>
          <w:fldChar w:fldCharType="separate"/>
        </w:r>
        <w:r w:rsidRPr="00D9305B">
          <w:rPr>
            <w:rFonts w:ascii="B Nazanin" w:hAnsi="B Nazanin"/>
            <w:noProof/>
            <w:sz w:val="28"/>
          </w:rPr>
          <w:t>2</w:t>
        </w:r>
        <w:r w:rsidRPr="00D9305B">
          <w:rPr>
            <w:rFonts w:ascii="B Nazanin" w:hAnsi="B Nazanin"/>
            <w:noProof/>
            <w:sz w:val="28"/>
          </w:rPr>
          <w:fldChar w:fldCharType="end"/>
        </w:r>
      </w:p>
    </w:sdtContent>
  </w:sdt>
  <w:p w14:paraId="0D047542" w14:textId="77777777" w:rsidR="00D9305B" w:rsidRDefault="00D930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5AC6A" w14:textId="77777777" w:rsidR="004F2FF5" w:rsidRDefault="004F2FF5" w:rsidP="003043ED">
      <w:pPr>
        <w:spacing w:after="0" w:line="240" w:lineRule="auto"/>
      </w:pPr>
      <w:r>
        <w:separator/>
      </w:r>
    </w:p>
  </w:footnote>
  <w:footnote w:type="continuationSeparator" w:id="0">
    <w:p w14:paraId="2020E583" w14:textId="77777777" w:rsidR="004F2FF5" w:rsidRDefault="004F2FF5" w:rsidP="003043ED">
      <w:pPr>
        <w:spacing w:after="0" w:line="240" w:lineRule="auto"/>
      </w:pPr>
      <w:r>
        <w:continuationSeparator/>
      </w:r>
    </w:p>
  </w:footnote>
  <w:footnote w:id="1">
    <w:p w14:paraId="6AB44127" w14:textId="6A1F20C9" w:rsidR="00AE46FB" w:rsidRDefault="00AE46FB">
      <w:pPr>
        <w:pStyle w:val="FootnoteText"/>
        <w:rPr>
          <w:rFonts w:hint="cs"/>
          <w:rtl/>
        </w:rPr>
      </w:pPr>
      <w:r>
        <w:rPr>
          <w:rStyle w:val="FootnoteReference"/>
        </w:rPr>
        <w:footnoteRef/>
      </w:r>
      <w:r>
        <w:t xml:space="preserve"> </w:t>
      </w:r>
      <w:r w:rsidRPr="00AE46FB">
        <w:rPr>
          <w:rFonts w:ascii="Times New Roman" w:hAnsi="Times New Roman" w:cs="B Nazanin"/>
          <w:sz w:val="18"/>
          <w:szCs w:val="18"/>
          <w:lang w:val="en-GB"/>
        </w:rPr>
        <w:t xml:space="preserve">Ratione </w:t>
      </w:r>
      <w:proofErr w:type="spellStart"/>
      <w:r w:rsidRPr="00AE46FB">
        <w:rPr>
          <w:rFonts w:ascii="Times New Roman" w:hAnsi="Times New Roman" w:cs="B Nazanin"/>
          <w:sz w:val="18"/>
          <w:szCs w:val="18"/>
          <w:lang w:val="en-GB"/>
        </w:rPr>
        <w:t>Materiae</w:t>
      </w:r>
      <w:proofErr w:type="spellEnd"/>
    </w:p>
  </w:footnote>
  <w:footnote w:id="2">
    <w:p w14:paraId="1D18DC19" w14:textId="6C44126D" w:rsidR="00AE46FB" w:rsidRDefault="00AE46FB">
      <w:pPr>
        <w:pStyle w:val="FootnoteText"/>
        <w:rPr>
          <w:rFonts w:hint="cs"/>
          <w:rtl/>
        </w:rPr>
      </w:pPr>
      <w:r>
        <w:rPr>
          <w:rStyle w:val="FootnoteReference"/>
        </w:rPr>
        <w:footnoteRef/>
      </w:r>
      <w:r>
        <w:t xml:space="preserve"> </w:t>
      </w:r>
      <w:r w:rsidRPr="00AE46FB">
        <w:rPr>
          <w:rFonts w:ascii="Times New Roman" w:hAnsi="Times New Roman" w:cs="B Nazanin"/>
          <w:sz w:val="18"/>
          <w:szCs w:val="18"/>
          <w:lang w:val="en-GB"/>
        </w:rPr>
        <w:t>Ratione Personae</w:t>
      </w:r>
    </w:p>
  </w:footnote>
  <w:footnote w:id="3">
    <w:p w14:paraId="79399906" w14:textId="47AC632A" w:rsidR="00AE46FB" w:rsidRDefault="00AE46FB">
      <w:pPr>
        <w:pStyle w:val="FootnoteText"/>
        <w:rPr>
          <w:rFonts w:hint="cs"/>
          <w:rtl/>
        </w:rPr>
      </w:pPr>
      <w:r>
        <w:rPr>
          <w:rStyle w:val="FootnoteReference"/>
        </w:rPr>
        <w:footnoteRef/>
      </w:r>
      <w:r>
        <w:t xml:space="preserve"> </w:t>
      </w:r>
      <w:r w:rsidRPr="00AE46FB">
        <w:rPr>
          <w:rFonts w:ascii="Times New Roman" w:hAnsi="Times New Roman" w:cs="B Nazanin"/>
          <w:sz w:val="18"/>
          <w:szCs w:val="18"/>
          <w:lang w:val="en-GB"/>
        </w:rPr>
        <w:t>Treaty Shopping</w:t>
      </w:r>
    </w:p>
  </w:footnote>
  <w:footnote w:id="4">
    <w:p w14:paraId="64E7837D" w14:textId="14631469" w:rsidR="00AE46FB" w:rsidRDefault="00AE46FB">
      <w:pPr>
        <w:pStyle w:val="FootnoteText"/>
        <w:rPr>
          <w:rFonts w:hint="cs"/>
          <w:rtl/>
        </w:rPr>
      </w:pPr>
      <w:r>
        <w:rPr>
          <w:rStyle w:val="FootnoteReference"/>
        </w:rPr>
        <w:footnoteRef/>
      </w:r>
      <w:r>
        <w:t xml:space="preserve"> </w:t>
      </w:r>
      <w:r w:rsidRPr="00AE46FB">
        <w:rPr>
          <w:rFonts w:ascii="Times New Roman" w:hAnsi="Times New Roman" w:cs="B Nazanin"/>
          <w:sz w:val="18"/>
          <w:szCs w:val="18"/>
          <w:lang w:val="en-GB"/>
        </w:rPr>
        <w:t>Consent</w:t>
      </w:r>
    </w:p>
  </w:footnote>
  <w:footnote w:id="5">
    <w:p w14:paraId="2E92F0F6" w14:textId="606E2FBC" w:rsidR="00AE46FB" w:rsidRDefault="00AE46FB">
      <w:pPr>
        <w:pStyle w:val="FootnoteText"/>
        <w:rPr>
          <w:rFonts w:hint="cs"/>
          <w:rtl/>
        </w:rPr>
      </w:pPr>
      <w:r>
        <w:rPr>
          <w:rStyle w:val="FootnoteReference"/>
        </w:rPr>
        <w:footnoteRef/>
      </w:r>
      <w:r>
        <w:t xml:space="preserve"> </w:t>
      </w:r>
      <w:r w:rsidRPr="00AE46FB">
        <w:rPr>
          <w:rFonts w:ascii="Times New Roman" w:hAnsi="Times New Roman" w:cs="B Nazanin"/>
          <w:sz w:val="18"/>
          <w:szCs w:val="18"/>
          <w:lang w:val="en-GB"/>
        </w:rPr>
        <w:t>Amicus Curiae</w:t>
      </w:r>
    </w:p>
  </w:footnote>
  <w:footnote w:id="6">
    <w:p w14:paraId="4B72A21A" w14:textId="1892F730" w:rsidR="005D28AA" w:rsidRDefault="005D28AA">
      <w:pPr>
        <w:pStyle w:val="FootnoteText"/>
        <w:rPr>
          <w:rFonts w:hint="cs"/>
          <w:rtl/>
        </w:rPr>
      </w:pPr>
      <w:r>
        <w:rPr>
          <w:rStyle w:val="FootnoteReference"/>
        </w:rPr>
        <w:footnoteRef/>
      </w:r>
      <w:r>
        <w:t xml:space="preserve"> </w:t>
      </w:r>
      <w:r w:rsidRPr="005D28AA">
        <w:rPr>
          <w:rFonts w:ascii="Times New Roman" w:hAnsi="Times New Roman" w:cs="B Nazanin"/>
          <w:sz w:val="18"/>
          <w:szCs w:val="18"/>
          <w:lang w:val="en-GB"/>
        </w:rPr>
        <w:t>Double-Hatting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349B" w14:textId="5570A058" w:rsidR="00CB23A5" w:rsidRDefault="00CB23A5">
    <w:pPr>
      <w:pStyle w:val="Header"/>
    </w:pPr>
    <w:r>
      <w:rPr>
        <w:noProof/>
      </w:rPr>
      <w:drawing>
        <wp:anchor distT="0" distB="0" distL="114300" distR="114300" simplePos="0" relativeHeight="251660288" behindDoc="1" locked="0" layoutInCell="1" allowOverlap="1" wp14:anchorId="5CC42C47" wp14:editId="6895E822">
          <wp:simplePos x="0" y="0"/>
          <wp:positionH relativeFrom="column">
            <wp:posOffset>1094108</wp:posOffset>
          </wp:positionH>
          <wp:positionV relativeFrom="paragraph">
            <wp:posOffset>-249056</wp:posOffset>
          </wp:positionV>
          <wp:extent cx="5476875" cy="664845"/>
          <wp:effectExtent l="0" t="0" r="9525" b="1905"/>
          <wp:wrapNone/>
          <wp:docPr id="1729048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6875" cy="664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DD813" w14:textId="5FD68E87" w:rsidR="00AB0D73" w:rsidRDefault="00AB0D73">
    <w:pPr>
      <w:pStyle w:val="Header"/>
    </w:pPr>
    <w:r>
      <w:rPr>
        <w:noProof/>
      </w:rPr>
      <w:drawing>
        <wp:anchor distT="0" distB="0" distL="114300" distR="114300" simplePos="0" relativeHeight="251658240" behindDoc="1" locked="0" layoutInCell="1" allowOverlap="1" wp14:anchorId="5E98F574" wp14:editId="61441714">
          <wp:simplePos x="0" y="0"/>
          <wp:positionH relativeFrom="column">
            <wp:posOffset>1150653</wp:posOffset>
          </wp:positionH>
          <wp:positionV relativeFrom="paragraph">
            <wp:posOffset>-283845</wp:posOffset>
          </wp:positionV>
          <wp:extent cx="5476875" cy="664845"/>
          <wp:effectExtent l="0" t="0" r="9525" b="1905"/>
          <wp:wrapNone/>
          <wp:docPr id="291684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6875" cy="664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1DBD"/>
    <w:multiLevelType w:val="multilevel"/>
    <w:tmpl w:val="13E22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E3A9E"/>
    <w:multiLevelType w:val="multilevel"/>
    <w:tmpl w:val="F144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E0617"/>
    <w:multiLevelType w:val="multilevel"/>
    <w:tmpl w:val="BDA2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B278D9"/>
    <w:multiLevelType w:val="multilevel"/>
    <w:tmpl w:val="BEAE9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7C3077"/>
    <w:multiLevelType w:val="multilevel"/>
    <w:tmpl w:val="08A02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C874E2"/>
    <w:multiLevelType w:val="multilevel"/>
    <w:tmpl w:val="AB5C6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B4B03"/>
    <w:multiLevelType w:val="multilevel"/>
    <w:tmpl w:val="CAC8D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C41212"/>
    <w:multiLevelType w:val="hybridMultilevel"/>
    <w:tmpl w:val="C4F8EA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0D445B"/>
    <w:multiLevelType w:val="multilevel"/>
    <w:tmpl w:val="2D6AC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0322D8"/>
    <w:multiLevelType w:val="hybridMultilevel"/>
    <w:tmpl w:val="EF4CE8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DA1D6D"/>
    <w:multiLevelType w:val="multilevel"/>
    <w:tmpl w:val="3AAC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7215C2"/>
    <w:multiLevelType w:val="multilevel"/>
    <w:tmpl w:val="D07C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5867E3"/>
    <w:multiLevelType w:val="hybridMultilevel"/>
    <w:tmpl w:val="583E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000D0"/>
    <w:multiLevelType w:val="hybridMultilevel"/>
    <w:tmpl w:val="B9523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0B7AC5"/>
    <w:multiLevelType w:val="multilevel"/>
    <w:tmpl w:val="68B2F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B421B6"/>
    <w:multiLevelType w:val="multilevel"/>
    <w:tmpl w:val="0A8AB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7A2DCD"/>
    <w:multiLevelType w:val="multilevel"/>
    <w:tmpl w:val="B3381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BE3CBA"/>
    <w:multiLevelType w:val="multilevel"/>
    <w:tmpl w:val="CD863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8356EC"/>
    <w:multiLevelType w:val="multilevel"/>
    <w:tmpl w:val="EBEC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8A3751"/>
    <w:multiLevelType w:val="multilevel"/>
    <w:tmpl w:val="AD204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995206"/>
    <w:multiLevelType w:val="hybridMultilevel"/>
    <w:tmpl w:val="AC4C8E40"/>
    <w:lvl w:ilvl="0" w:tplc="9CD41572">
      <w:start w:val="1"/>
      <w:numFmt w:val="decimal"/>
      <w:lvlText w:val="%1-"/>
      <w:lvlJc w:val="left"/>
      <w:pPr>
        <w:ind w:left="360" w:hanging="360"/>
      </w:pPr>
      <w:rPr>
        <w:rFonts w:cs="B Nazani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A4136E2"/>
    <w:multiLevelType w:val="multilevel"/>
    <w:tmpl w:val="8642F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E484AAF"/>
    <w:multiLevelType w:val="multilevel"/>
    <w:tmpl w:val="DA684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8B04CE"/>
    <w:multiLevelType w:val="hybridMultilevel"/>
    <w:tmpl w:val="1D5A8B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A0155D"/>
    <w:multiLevelType w:val="multilevel"/>
    <w:tmpl w:val="C8E6A63C"/>
    <w:lvl w:ilvl="0">
      <w:start w:val="1"/>
      <w:numFmt w:val="decimal"/>
      <w:lvlText w:val="%1."/>
      <w:lvlJc w:val="left"/>
      <w:pPr>
        <w:tabs>
          <w:tab w:val="num" w:pos="720"/>
        </w:tabs>
        <w:ind w:left="720" w:hanging="360"/>
      </w:pPr>
      <w:rPr>
        <w:rFonts w:cs="B Nazani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3C22BA"/>
    <w:multiLevelType w:val="multilevel"/>
    <w:tmpl w:val="D30C1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233B64"/>
    <w:multiLevelType w:val="multilevel"/>
    <w:tmpl w:val="7C60E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5C25E5"/>
    <w:multiLevelType w:val="multilevel"/>
    <w:tmpl w:val="E4F4D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364A12"/>
    <w:multiLevelType w:val="hybridMultilevel"/>
    <w:tmpl w:val="B0D8F7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537DB3"/>
    <w:multiLevelType w:val="multilevel"/>
    <w:tmpl w:val="30EE8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4A70FE"/>
    <w:multiLevelType w:val="hybridMultilevel"/>
    <w:tmpl w:val="11183D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61ADB"/>
    <w:multiLevelType w:val="hybridMultilevel"/>
    <w:tmpl w:val="E4C613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34728248">
    <w:abstractNumId w:val="1"/>
  </w:num>
  <w:num w:numId="2" w16cid:durableId="1586495846">
    <w:abstractNumId w:val="11"/>
  </w:num>
  <w:num w:numId="3" w16cid:durableId="401874794">
    <w:abstractNumId w:val="22"/>
  </w:num>
  <w:num w:numId="4" w16cid:durableId="694886763">
    <w:abstractNumId w:val="26"/>
  </w:num>
  <w:num w:numId="5" w16cid:durableId="655496008">
    <w:abstractNumId w:val="19"/>
  </w:num>
  <w:num w:numId="6" w16cid:durableId="810709550">
    <w:abstractNumId w:val="29"/>
  </w:num>
  <w:num w:numId="7" w16cid:durableId="750467115">
    <w:abstractNumId w:val="14"/>
  </w:num>
  <w:num w:numId="8" w16cid:durableId="1994261653">
    <w:abstractNumId w:val="5"/>
  </w:num>
  <w:num w:numId="9" w16cid:durableId="1358461878">
    <w:abstractNumId w:val="18"/>
  </w:num>
  <w:num w:numId="10" w16cid:durableId="1666086352">
    <w:abstractNumId w:val="21"/>
  </w:num>
  <w:num w:numId="11" w16cid:durableId="2124113628">
    <w:abstractNumId w:val="3"/>
  </w:num>
  <w:num w:numId="12" w16cid:durableId="864632208">
    <w:abstractNumId w:val="0"/>
  </w:num>
  <w:num w:numId="13" w16cid:durableId="2084637228">
    <w:abstractNumId w:val="4"/>
  </w:num>
  <w:num w:numId="14" w16cid:durableId="634336388">
    <w:abstractNumId w:val="17"/>
  </w:num>
  <w:num w:numId="15" w16cid:durableId="1514342700">
    <w:abstractNumId w:val="10"/>
  </w:num>
  <w:num w:numId="16" w16cid:durableId="1477603457">
    <w:abstractNumId w:val="2"/>
  </w:num>
  <w:num w:numId="17" w16cid:durableId="154226362">
    <w:abstractNumId w:val="31"/>
  </w:num>
  <w:num w:numId="18" w16cid:durableId="1738819644">
    <w:abstractNumId w:val="30"/>
  </w:num>
  <w:num w:numId="19" w16cid:durableId="1750076596">
    <w:abstractNumId w:val="7"/>
  </w:num>
  <w:num w:numId="20" w16cid:durableId="1771124686">
    <w:abstractNumId w:val="9"/>
  </w:num>
  <w:num w:numId="21" w16cid:durableId="1019626773">
    <w:abstractNumId w:val="20"/>
  </w:num>
  <w:num w:numId="22" w16cid:durableId="439298850">
    <w:abstractNumId w:val="27"/>
  </w:num>
  <w:num w:numId="23" w16cid:durableId="1644460186">
    <w:abstractNumId w:val="6"/>
  </w:num>
  <w:num w:numId="24" w16cid:durableId="2123918080">
    <w:abstractNumId w:val="8"/>
  </w:num>
  <w:num w:numId="25" w16cid:durableId="1942566326">
    <w:abstractNumId w:val="25"/>
  </w:num>
  <w:num w:numId="26" w16cid:durableId="1582787623">
    <w:abstractNumId w:val="16"/>
  </w:num>
  <w:num w:numId="27" w16cid:durableId="625504282">
    <w:abstractNumId w:val="24"/>
  </w:num>
  <w:num w:numId="28" w16cid:durableId="1472791776">
    <w:abstractNumId w:val="15"/>
  </w:num>
  <w:num w:numId="29" w16cid:durableId="821970215">
    <w:abstractNumId w:val="12"/>
  </w:num>
  <w:num w:numId="30" w16cid:durableId="1472216158">
    <w:abstractNumId w:val="13"/>
  </w:num>
  <w:num w:numId="31" w16cid:durableId="1891306552">
    <w:abstractNumId w:val="23"/>
  </w:num>
  <w:num w:numId="32" w16cid:durableId="201183412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3ED"/>
    <w:rsid w:val="000045D7"/>
    <w:rsid w:val="00017291"/>
    <w:rsid w:val="00022CF9"/>
    <w:rsid w:val="00033346"/>
    <w:rsid w:val="000616EF"/>
    <w:rsid w:val="00062BAA"/>
    <w:rsid w:val="000717F6"/>
    <w:rsid w:val="00080D63"/>
    <w:rsid w:val="00083682"/>
    <w:rsid w:val="00094BC6"/>
    <w:rsid w:val="00096C29"/>
    <w:rsid w:val="000D0826"/>
    <w:rsid w:val="00133004"/>
    <w:rsid w:val="00134D6F"/>
    <w:rsid w:val="00157D1A"/>
    <w:rsid w:val="001660A8"/>
    <w:rsid w:val="001712E9"/>
    <w:rsid w:val="001723BD"/>
    <w:rsid w:val="00181CC2"/>
    <w:rsid w:val="001B1E11"/>
    <w:rsid w:val="001F2330"/>
    <w:rsid w:val="001F3F96"/>
    <w:rsid w:val="00210746"/>
    <w:rsid w:val="002117B7"/>
    <w:rsid w:val="0021381E"/>
    <w:rsid w:val="00220C2E"/>
    <w:rsid w:val="00254DAB"/>
    <w:rsid w:val="00287159"/>
    <w:rsid w:val="002A4C88"/>
    <w:rsid w:val="002B004A"/>
    <w:rsid w:val="002C40A8"/>
    <w:rsid w:val="002D0E28"/>
    <w:rsid w:val="002E178C"/>
    <w:rsid w:val="002F0620"/>
    <w:rsid w:val="003043ED"/>
    <w:rsid w:val="00305B8C"/>
    <w:rsid w:val="00310C31"/>
    <w:rsid w:val="0032684C"/>
    <w:rsid w:val="00333EE3"/>
    <w:rsid w:val="00344283"/>
    <w:rsid w:val="00346520"/>
    <w:rsid w:val="00352F94"/>
    <w:rsid w:val="0037309E"/>
    <w:rsid w:val="00387AD6"/>
    <w:rsid w:val="00397FAB"/>
    <w:rsid w:val="003A3204"/>
    <w:rsid w:val="003D297D"/>
    <w:rsid w:val="003D729F"/>
    <w:rsid w:val="003F015A"/>
    <w:rsid w:val="003F2747"/>
    <w:rsid w:val="00400CBE"/>
    <w:rsid w:val="00405B72"/>
    <w:rsid w:val="0042187B"/>
    <w:rsid w:val="00422254"/>
    <w:rsid w:val="00423C77"/>
    <w:rsid w:val="00426645"/>
    <w:rsid w:val="0042749D"/>
    <w:rsid w:val="00445825"/>
    <w:rsid w:val="00445A5C"/>
    <w:rsid w:val="004549B3"/>
    <w:rsid w:val="0046048F"/>
    <w:rsid w:val="00490156"/>
    <w:rsid w:val="004B4A51"/>
    <w:rsid w:val="004D7C17"/>
    <w:rsid w:val="004E37BB"/>
    <w:rsid w:val="004F1030"/>
    <w:rsid w:val="004F2CDB"/>
    <w:rsid w:val="004F2FF5"/>
    <w:rsid w:val="004F3485"/>
    <w:rsid w:val="00502A3B"/>
    <w:rsid w:val="005210EB"/>
    <w:rsid w:val="0053113A"/>
    <w:rsid w:val="005543F7"/>
    <w:rsid w:val="00556286"/>
    <w:rsid w:val="00572DF8"/>
    <w:rsid w:val="00577892"/>
    <w:rsid w:val="00596A88"/>
    <w:rsid w:val="005A1366"/>
    <w:rsid w:val="005B1899"/>
    <w:rsid w:val="005B6F6E"/>
    <w:rsid w:val="005D28AA"/>
    <w:rsid w:val="00607FC7"/>
    <w:rsid w:val="00612D70"/>
    <w:rsid w:val="006157B7"/>
    <w:rsid w:val="00620117"/>
    <w:rsid w:val="0063452F"/>
    <w:rsid w:val="00645570"/>
    <w:rsid w:val="006512D9"/>
    <w:rsid w:val="00663828"/>
    <w:rsid w:val="006679F2"/>
    <w:rsid w:val="00667F83"/>
    <w:rsid w:val="0067166F"/>
    <w:rsid w:val="00672097"/>
    <w:rsid w:val="00673C6D"/>
    <w:rsid w:val="00673CE9"/>
    <w:rsid w:val="00676A30"/>
    <w:rsid w:val="00681C91"/>
    <w:rsid w:val="006962DB"/>
    <w:rsid w:val="006B73F5"/>
    <w:rsid w:val="006D6EF0"/>
    <w:rsid w:val="006E10F8"/>
    <w:rsid w:val="006E3094"/>
    <w:rsid w:val="00702B9D"/>
    <w:rsid w:val="007150D3"/>
    <w:rsid w:val="0073660E"/>
    <w:rsid w:val="00744967"/>
    <w:rsid w:val="00760304"/>
    <w:rsid w:val="00765823"/>
    <w:rsid w:val="00793D5D"/>
    <w:rsid w:val="007A1FAC"/>
    <w:rsid w:val="007A45C7"/>
    <w:rsid w:val="007B7A04"/>
    <w:rsid w:val="007C721B"/>
    <w:rsid w:val="007E1C83"/>
    <w:rsid w:val="007E27F4"/>
    <w:rsid w:val="007F4FED"/>
    <w:rsid w:val="00800D21"/>
    <w:rsid w:val="008051BC"/>
    <w:rsid w:val="0081613D"/>
    <w:rsid w:val="008235CC"/>
    <w:rsid w:val="00825478"/>
    <w:rsid w:val="00826FDE"/>
    <w:rsid w:val="008344FE"/>
    <w:rsid w:val="008602DA"/>
    <w:rsid w:val="008636EA"/>
    <w:rsid w:val="00866DCA"/>
    <w:rsid w:val="008679B9"/>
    <w:rsid w:val="008750DB"/>
    <w:rsid w:val="0088075B"/>
    <w:rsid w:val="00883899"/>
    <w:rsid w:val="008A36EA"/>
    <w:rsid w:val="008A7B29"/>
    <w:rsid w:val="008C5A87"/>
    <w:rsid w:val="008D077F"/>
    <w:rsid w:val="008D70B3"/>
    <w:rsid w:val="00954DB0"/>
    <w:rsid w:val="00955001"/>
    <w:rsid w:val="00955909"/>
    <w:rsid w:val="009A2A38"/>
    <w:rsid w:val="009B0DF4"/>
    <w:rsid w:val="009B136D"/>
    <w:rsid w:val="009B2FFC"/>
    <w:rsid w:val="009B57E7"/>
    <w:rsid w:val="009D5C25"/>
    <w:rsid w:val="009D69A9"/>
    <w:rsid w:val="00A01558"/>
    <w:rsid w:val="00A05F49"/>
    <w:rsid w:val="00A0720C"/>
    <w:rsid w:val="00A17B0B"/>
    <w:rsid w:val="00A46457"/>
    <w:rsid w:val="00A81AE3"/>
    <w:rsid w:val="00A82F07"/>
    <w:rsid w:val="00A85DF5"/>
    <w:rsid w:val="00AA2D94"/>
    <w:rsid w:val="00AB0D73"/>
    <w:rsid w:val="00AB5B04"/>
    <w:rsid w:val="00AC1E9B"/>
    <w:rsid w:val="00AD1AD0"/>
    <w:rsid w:val="00AE46FB"/>
    <w:rsid w:val="00AE7FBC"/>
    <w:rsid w:val="00AF27E6"/>
    <w:rsid w:val="00B010F4"/>
    <w:rsid w:val="00B050BB"/>
    <w:rsid w:val="00B069E8"/>
    <w:rsid w:val="00B07392"/>
    <w:rsid w:val="00B16D5E"/>
    <w:rsid w:val="00B4029D"/>
    <w:rsid w:val="00B40C08"/>
    <w:rsid w:val="00B45E37"/>
    <w:rsid w:val="00B718C6"/>
    <w:rsid w:val="00B74800"/>
    <w:rsid w:val="00B74863"/>
    <w:rsid w:val="00B84210"/>
    <w:rsid w:val="00B900AD"/>
    <w:rsid w:val="00BA0E97"/>
    <w:rsid w:val="00BB249C"/>
    <w:rsid w:val="00BC0CB7"/>
    <w:rsid w:val="00BC3E57"/>
    <w:rsid w:val="00BC7F03"/>
    <w:rsid w:val="00BE1157"/>
    <w:rsid w:val="00C118BD"/>
    <w:rsid w:val="00C17B0A"/>
    <w:rsid w:val="00C20872"/>
    <w:rsid w:val="00C43C6B"/>
    <w:rsid w:val="00C5314E"/>
    <w:rsid w:val="00C57D7D"/>
    <w:rsid w:val="00C72CC7"/>
    <w:rsid w:val="00C95571"/>
    <w:rsid w:val="00C96886"/>
    <w:rsid w:val="00CA3517"/>
    <w:rsid w:val="00CB23A5"/>
    <w:rsid w:val="00CD5FC7"/>
    <w:rsid w:val="00CE6C68"/>
    <w:rsid w:val="00CF4BD7"/>
    <w:rsid w:val="00D3498E"/>
    <w:rsid w:val="00D40FE7"/>
    <w:rsid w:val="00D60084"/>
    <w:rsid w:val="00D870B8"/>
    <w:rsid w:val="00D9305B"/>
    <w:rsid w:val="00DA0CA4"/>
    <w:rsid w:val="00DB0927"/>
    <w:rsid w:val="00DB4569"/>
    <w:rsid w:val="00DC0704"/>
    <w:rsid w:val="00DC0E97"/>
    <w:rsid w:val="00DD02C8"/>
    <w:rsid w:val="00DE2CAB"/>
    <w:rsid w:val="00DE71A1"/>
    <w:rsid w:val="00DF39AA"/>
    <w:rsid w:val="00DF3F9C"/>
    <w:rsid w:val="00E00870"/>
    <w:rsid w:val="00E37384"/>
    <w:rsid w:val="00EA0AE3"/>
    <w:rsid w:val="00EA41D6"/>
    <w:rsid w:val="00ED351E"/>
    <w:rsid w:val="00ED4D01"/>
    <w:rsid w:val="00ED4F23"/>
    <w:rsid w:val="00ED7742"/>
    <w:rsid w:val="00EF00C4"/>
    <w:rsid w:val="00EF5FAA"/>
    <w:rsid w:val="00F22C09"/>
    <w:rsid w:val="00F271EB"/>
    <w:rsid w:val="00F2742A"/>
    <w:rsid w:val="00F45005"/>
    <w:rsid w:val="00F5272A"/>
    <w:rsid w:val="00F7738C"/>
    <w:rsid w:val="00F80FC6"/>
    <w:rsid w:val="00FC488D"/>
    <w:rsid w:val="00FE187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230A"/>
  <w15:chartTrackingRefBased/>
  <w15:docId w15:val="{0B0865DE-F67B-4AF7-AEF7-B1E89E1BE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bidi="fa-IR"/>
    </w:rPr>
  </w:style>
  <w:style w:type="paragraph" w:styleId="Heading1">
    <w:name w:val="heading 1"/>
    <w:basedOn w:val="Normal"/>
    <w:next w:val="Normal"/>
    <w:link w:val="Heading1Char"/>
    <w:uiPriority w:val="9"/>
    <w:qFormat/>
    <w:rsid w:val="003043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043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43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43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43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43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43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43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43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3ED"/>
    <w:rPr>
      <w:rFonts w:asciiTheme="majorHAnsi" w:eastAsiaTheme="majorEastAsia" w:hAnsiTheme="majorHAnsi" w:cstheme="majorBidi"/>
      <w:color w:val="0F4761" w:themeColor="accent1" w:themeShade="BF"/>
      <w:sz w:val="40"/>
      <w:szCs w:val="40"/>
      <w:lang w:val="en-US" w:bidi="fa-IR"/>
    </w:rPr>
  </w:style>
  <w:style w:type="character" w:customStyle="1" w:styleId="Heading2Char">
    <w:name w:val="Heading 2 Char"/>
    <w:basedOn w:val="DefaultParagraphFont"/>
    <w:link w:val="Heading2"/>
    <w:uiPriority w:val="9"/>
    <w:rsid w:val="003043ED"/>
    <w:rPr>
      <w:rFonts w:asciiTheme="majorHAnsi" w:eastAsiaTheme="majorEastAsia" w:hAnsiTheme="majorHAnsi" w:cstheme="majorBidi"/>
      <w:color w:val="0F4761" w:themeColor="accent1" w:themeShade="BF"/>
      <w:sz w:val="32"/>
      <w:szCs w:val="32"/>
      <w:lang w:val="en-US" w:bidi="fa-IR"/>
    </w:rPr>
  </w:style>
  <w:style w:type="character" w:customStyle="1" w:styleId="Heading3Char">
    <w:name w:val="Heading 3 Char"/>
    <w:basedOn w:val="DefaultParagraphFont"/>
    <w:link w:val="Heading3"/>
    <w:uiPriority w:val="9"/>
    <w:semiHidden/>
    <w:rsid w:val="003043ED"/>
    <w:rPr>
      <w:rFonts w:eastAsiaTheme="majorEastAsia" w:cstheme="majorBidi"/>
      <w:color w:val="0F4761" w:themeColor="accent1" w:themeShade="BF"/>
      <w:sz w:val="28"/>
      <w:szCs w:val="28"/>
      <w:lang w:val="en-US" w:bidi="fa-IR"/>
    </w:rPr>
  </w:style>
  <w:style w:type="character" w:customStyle="1" w:styleId="Heading4Char">
    <w:name w:val="Heading 4 Char"/>
    <w:basedOn w:val="DefaultParagraphFont"/>
    <w:link w:val="Heading4"/>
    <w:uiPriority w:val="9"/>
    <w:semiHidden/>
    <w:rsid w:val="003043ED"/>
    <w:rPr>
      <w:rFonts w:eastAsiaTheme="majorEastAsia" w:cstheme="majorBidi"/>
      <w:i/>
      <w:iCs/>
      <w:color w:val="0F4761" w:themeColor="accent1" w:themeShade="BF"/>
      <w:lang w:val="en-US" w:bidi="fa-IR"/>
    </w:rPr>
  </w:style>
  <w:style w:type="character" w:customStyle="1" w:styleId="Heading5Char">
    <w:name w:val="Heading 5 Char"/>
    <w:basedOn w:val="DefaultParagraphFont"/>
    <w:link w:val="Heading5"/>
    <w:uiPriority w:val="9"/>
    <w:semiHidden/>
    <w:rsid w:val="003043ED"/>
    <w:rPr>
      <w:rFonts w:eastAsiaTheme="majorEastAsia" w:cstheme="majorBidi"/>
      <w:color w:val="0F4761" w:themeColor="accent1" w:themeShade="BF"/>
      <w:lang w:val="en-US" w:bidi="fa-IR"/>
    </w:rPr>
  </w:style>
  <w:style w:type="character" w:customStyle="1" w:styleId="Heading6Char">
    <w:name w:val="Heading 6 Char"/>
    <w:basedOn w:val="DefaultParagraphFont"/>
    <w:link w:val="Heading6"/>
    <w:uiPriority w:val="9"/>
    <w:semiHidden/>
    <w:rsid w:val="003043ED"/>
    <w:rPr>
      <w:rFonts w:eastAsiaTheme="majorEastAsia" w:cstheme="majorBidi"/>
      <w:i/>
      <w:iCs/>
      <w:color w:val="595959" w:themeColor="text1" w:themeTint="A6"/>
      <w:lang w:val="en-US" w:bidi="fa-IR"/>
    </w:rPr>
  </w:style>
  <w:style w:type="character" w:customStyle="1" w:styleId="Heading7Char">
    <w:name w:val="Heading 7 Char"/>
    <w:basedOn w:val="DefaultParagraphFont"/>
    <w:link w:val="Heading7"/>
    <w:uiPriority w:val="9"/>
    <w:semiHidden/>
    <w:rsid w:val="003043ED"/>
    <w:rPr>
      <w:rFonts w:eastAsiaTheme="majorEastAsia" w:cstheme="majorBidi"/>
      <w:color w:val="595959" w:themeColor="text1" w:themeTint="A6"/>
      <w:lang w:val="en-US" w:bidi="fa-IR"/>
    </w:rPr>
  </w:style>
  <w:style w:type="character" w:customStyle="1" w:styleId="Heading8Char">
    <w:name w:val="Heading 8 Char"/>
    <w:basedOn w:val="DefaultParagraphFont"/>
    <w:link w:val="Heading8"/>
    <w:uiPriority w:val="9"/>
    <w:semiHidden/>
    <w:rsid w:val="003043ED"/>
    <w:rPr>
      <w:rFonts w:eastAsiaTheme="majorEastAsia" w:cstheme="majorBidi"/>
      <w:i/>
      <w:iCs/>
      <w:color w:val="272727" w:themeColor="text1" w:themeTint="D8"/>
      <w:lang w:val="en-US" w:bidi="fa-IR"/>
    </w:rPr>
  </w:style>
  <w:style w:type="character" w:customStyle="1" w:styleId="Heading9Char">
    <w:name w:val="Heading 9 Char"/>
    <w:basedOn w:val="DefaultParagraphFont"/>
    <w:link w:val="Heading9"/>
    <w:uiPriority w:val="9"/>
    <w:semiHidden/>
    <w:rsid w:val="003043ED"/>
    <w:rPr>
      <w:rFonts w:eastAsiaTheme="majorEastAsia" w:cstheme="majorBidi"/>
      <w:color w:val="272727" w:themeColor="text1" w:themeTint="D8"/>
      <w:lang w:val="en-US" w:bidi="fa-IR"/>
    </w:rPr>
  </w:style>
  <w:style w:type="paragraph" w:styleId="Title">
    <w:name w:val="Title"/>
    <w:basedOn w:val="Normal"/>
    <w:next w:val="Normal"/>
    <w:link w:val="TitleChar"/>
    <w:uiPriority w:val="10"/>
    <w:qFormat/>
    <w:rsid w:val="003043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43ED"/>
    <w:rPr>
      <w:rFonts w:asciiTheme="majorHAnsi" w:eastAsiaTheme="majorEastAsia" w:hAnsiTheme="majorHAnsi" w:cstheme="majorBidi"/>
      <w:spacing w:val="-10"/>
      <w:kern w:val="28"/>
      <w:sz w:val="56"/>
      <w:szCs w:val="56"/>
      <w:lang w:val="en-US" w:bidi="fa-IR"/>
    </w:rPr>
  </w:style>
  <w:style w:type="paragraph" w:styleId="Subtitle">
    <w:name w:val="Subtitle"/>
    <w:basedOn w:val="Normal"/>
    <w:next w:val="Normal"/>
    <w:link w:val="SubtitleChar"/>
    <w:uiPriority w:val="11"/>
    <w:qFormat/>
    <w:rsid w:val="003043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43ED"/>
    <w:rPr>
      <w:rFonts w:eastAsiaTheme="majorEastAsia" w:cstheme="majorBidi"/>
      <w:color w:val="595959" w:themeColor="text1" w:themeTint="A6"/>
      <w:spacing w:val="15"/>
      <w:sz w:val="28"/>
      <w:szCs w:val="28"/>
      <w:lang w:val="en-US" w:bidi="fa-IR"/>
    </w:rPr>
  </w:style>
  <w:style w:type="paragraph" w:styleId="Quote">
    <w:name w:val="Quote"/>
    <w:basedOn w:val="Normal"/>
    <w:next w:val="Normal"/>
    <w:link w:val="QuoteChar"/>
    <w:uiPriority w:val="29"/>
    <w:qFormat/>
    <w:rsid w:val="003043ED"/>
    <w:pPr>
      <w:spacing w:before="160"/>
      <w:jc w:val="center"/>
    </w:pPr>
    <w:rPr>
      <w:i/>
      <w:iCs/>
      <w:color w:val="404040" w:themeColor="text1" w:themeTint="BF"/>
    </w:rPr>
  </w:style>
  <w:style w:type="character" w:customStyle="1" w:styleId="QuoteChar">
    <w:name w:val="Quote Char"/>
    <w:basedOn w:val="DefaultParagraphFont"/>
    <w:link w:val="Quote"/>
    <w:uiPriority w:val="29"/>
    <w:rsid w:val="003043ED"/>
    <w:rPr>
      <w:i/>
      <w:iCs/>
      <w:color w:val="404040" w:themeColor="text1" w:themeTint="BF"/>
      <w:lang w:val="en-US" w:bidi="fa-IR"/>
    </w:rPr>
  </w:style>
  <w:style w:type="paragraph" w:styleId="ListParagraph">
    <w:name w:val="List Paragraph"/>
    <w:basedOn w:val="Normal"/>
    <w:uiPriority w:val="34"/>
    <w:qFormat/>
    <w:rsid w:val="003043ED"/>
    <w:pPr>
      <w:ind w:left="720"/>
      <w:contextualSpacing/>
    </w:pPr>
  </w:style>
  <w:style w:type="character" w:styleId="IntenseEmphasis">
    <w:name w:val="Intense Emphasis"/>
    <w:basedOn w:val="DefaultParagraphFont"/>
    <w:uiPriority w:val="21"/>
    <w:qFormat/>
    <w:rsid w:val="003043ED"/>
    <w:rPr>
      <w:i/>
      <w:iCs/>
      <w:color w:val="0F4761" w:themeColor="accent1" w:themeShade="BF"/>
    </w:rPr>
  </w:style>
  <w:style w:type="paragraph" w:styleId="IntenseQuote">
    <w:name w:val="Intense Quote"/>
    <w:basedOn w:val="Normal"/>
    <w:next w:val="Normal"/>
    <w:link w:val="IntenseQuoteChar"/>
    <w:uiPriority w:val="30"/>
    <w:qFormat/>
    <w:rsid w:val="003043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43ED"/>
    <w:rPr>
      <w:i/>
      <w:iCs/>
      <w:color w:val="0F4761" w:themeColor="accent1" w:themeShade="BF"/>
      <w:lang w:val="en-US" w:bidi="fa-IR"/>
    </w:rPr>
  </w:style>
  <w:style w:type="character" w:styleId="IntenseReference">
    <w:name w:val="Intense Reference"/>
    <w:basedOn w:val="DefaultParagraphFont"/>
    <w:uiPriority w:val="32"/>
    <w:qFormat/>
    <w:rsid w:val="003043ED"/>
    <w:rPr>
      <w:b/>
      <w:bCs/>
      <w:smallCaps/>
      <w:color w:val="0F4761" w:themeColor="accent1" w:themeShade="BF"/>
      <w:spacing w:val="5"/>
    </w:rPr>
  </w:style>
  <w:style w:type="paragraph" w:styleId="FootnoteText">
    <w:name w:val="footnote text"/>
    <w:basedOn w:val="Normal"/>
    <w:link w:val="FootnoteTextChar"/>
    <w:uiPriority w:val="99"/>
    <w:semiHidden/>
    <w:unhideWhenUsed/>
    <w:rsid w:val="003043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43ED"/>
    <w:rPr>
      <w:sz w:val="20"/>
      <w:szCs w:val="20"/>
      <w:lang w:val="en-US" w:bidi="fa-IR"/>
    </w:rPr>
  </w:style>
  <w:style w:type="character" w:styleId="FootnoteReference">
    <w:name w:val="footnote reference"/>
    <w:basedOn w:val="DefaultParagraphFont"/>
    <w:uiPriority w:val="99"/>
    <w:semiHidden/>
    <w:unhideWhenUsed/>
    <w:rsid w:val="003043ED"/>
    <w:rPr>
      <w:vertAlign w:val="superscript"/>
    </w:rPr>
  </w:style>
  <w:style w:type="character" w:styleId="Hyperlink">
    <w:name w:val="Hyperlink"/>
    <w:basedOn w:val="DefaultParagraphFont"/>
    <w:uiPriority w:val="99"/>
    <w:unhideWhenUsed/>
    <w:rsid w:val="00A82F07"/>
    <w:rPr>
      <w:color w:val="467886" w:themeColor="hyperlink"/>
      <w:u w:val="single"/>
    </w:rPr>
  </w:style>
  <w:style w:type="character" w:styleId="UnresolvedMention">
    <w:name w:val="Unresolved Mention"/>
    <w:basedOn w:val="DefaultParagraphFont"/>
    <w:uiPriority w:val="99"/>
    <w:semiHidden/>
    <w:unhideWhenUsed/>
    <w:rsid w:val="00A82F07"/>
    <w:rPr>
      <w:color w:val="605E5C"/>
      <w:shd w:val="clear" w:color="auto" w:fill="E1DFDD"/>
    </w:rPr>
  </w:style>
  <w:style w:type="paragraph" w:styleId="NormalWeb">
    <w:name w:val="Normal (Web)"/>
    <w:basedOn w:val="Normal"/>
    <w:uiPriority w:val="99"/>
    <w:semiHidden/>
    <w:unhideWhenUsed/>
    <w:rsid w:val="00A05F49"/>
    <w:rPr>
      <w:rFonts w:ascii="Times New Roman" w:hAnsi="Times New Roman" w:cs="Times New Roman"/>
    </w:rPr>
  </w:style>
  <w:style w:type="paragraph" w:styleId="Header">
    <w:name w:val="header"/>
    <w:basedOn w:val="Normal"/>
    <w:link w:val="HeaderChar"/>
    <w:uiPriority w:val="99"/>
    <w:unhideWhenUsed/>
    <w:rsid w:val="00D930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05B"/>
    <w:rPr>
      <w:lang w:val="en-US" w:bidi="fa-IR"/>
    </w:rPr>
  </w:style>
  <w:style w:type="paragraph" w:styleId="Footer">
    <w:name w:val="footer"/>
    <w:basedOn w:val="Normal"/>
    <w:link w:val="FooterChar"/>
    <w:uiPriority w:val="99"/>
    <w:unhideWhenUsed/>
    <w:rsid w:val="00D930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05B"/>
    <w:rPr>
      <w:lang w:val="en-US" w:bidi="fa-IR"/>
    </w:rPr>
  </w:style>
  <w:style w:type="table" w:styleId="TableGrid">
    <w:name w:val="Table Grid"/>
    <w:basedOn w:val="TableNormal"/>
    <w:uiPriority w:val="39"/>
    <w:rsid w:val="00344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18CB6-EA59-49AA-83E8-402331A48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16</Pages>
  <Words>6289</Words>
  <Characters>35853</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Jahromi</dc:creator>
  <cp:keywords/>
  <dc:description/>
  <cp:lastModifiedBy>Ali Jahromi</cp:lastModifiedBy>
  <cp:revision>18</cp:revision>
  <cp:lastPrinted>2025-10-28T07:00:00Z</cp:lastPrinted>
  <dcterms:created xsi:type="dcterms:W3CDTF">2026-01-23T18:26:00Z</dcterms:created>
  <dcterms:modified xsi:type="dcterms:W3CDTF">2026-01-23T21:34:00Z</dcterms:modified>
</cp:coreProperties>
</file>